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9E" w:rsidRDefault="004A669B" w:rsidP="00E976DD">
      <w:pPr>
        <w:jc w:val="center"/>
        <w:rPr>
          <w:b/>
          <w:bCs/>
          <w:u w:val="single"/>
        </w:rPr>
      </w:pPr>
      <w:r>
        <w:rPr>
          <w:b/>
          <w:bCs/>
          <w:u w:val="single"/>
        </w:rPr>
        <w:t xml:space="preserve">DRAFT </w:t>
      </w:r>
      <w:r w:rsidR="003F159E" w:rsidRPr="00E976DD">
        <w:rPr>
          <w:b/>
          <w:bCs/>
          <w:u w:val="single"/>
        </w:rPr>
        <w:t>Scrutiny Work Programme</w:t>
      </w:r>
      <w:r w:rsidR="00734107">
        <w:rPr>
          <w:b/>
          <w:bCs/>
          <w:u w:val="single"/>
        </w:rPr>
        <w:t xml:space="preserve"> 2016/17</w:t>
      </w:r>
      <w:r w:rsidR="003F159E" w:rsidRPr="00E976DD">
        <w:rPr>
          <w:b/>
          <w:bCs/>
          <w:u w:val="single"/>
        </w:rPr>
        <w:t xml:space="preserve"> </w:t>
      </w:r>
    </w:p>
    <w:tbl>
      <w:tblPr>
        <w:tblStyle w:val="MediumGrid1-Accent4"/>
        <w:tblW w:w="14425" w:type="dxa"/>
        <w:tblLayout w:type="fixed"/>
        <w:tblLook w:val="04A0" w:firstRow="1" w:lastRow="0" w:firstColumn="1" w:lastColumn="0" w:noHBand="0" w:noVBand="1"/>
      </w:tblPr>
      <w:tblGrid>
        <w:gridCol w:w="675"/>
        <w:gridCol w:w="1843"/>
        <w:gridCol w:w="3544"/>
        <w:gridCol w:w="2268"/>
        <w:gridCol w:w="2003"/>
        <w:gridCol w:w="4092"/>
      </w:tblGrid>
      <w:tr w:rsidR="003E4ED6" w:rsidTr="00BF2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AB7341">
            <w:pPr>
              <w:jc w:val="center"/>
              <w:rPr>
                <w:sz w:val="24"/>
              </w:rPr>
            </w:pPr>
          </w:p>
        </w:tc>
        <w:tc>
          <w:tcPr>
            <w:tcW w:w="1843" w:type="dxa"/>
          </w:tcPr>
          <w:p w:rsidR="003E4ED6" w:rsidRPr="008643EB" w:rsidRDefault="00C911F0" w:rsidP="00C911F0">
            <w:pPr>
              <w:jc w:val="center"/>
              <w:cnfStyle w:val="100000000000" w:firstRow="1" w:lastRow="0" w:firstColumn="0" w:lastColumn="0" w:oddVBand="0" w:evenVBand="0" w:oddHBand="0" w:evenHBand="0" w:firstRowFirstColumn="0" w:firstRowLastColumn="0" w:lastRowFirstColumn="0" w:lastRowLastColumn="0"/>
              <w:rPr>
                <w:b w:val="0"/>
                <w:i/>
              </w:rPr>
            </w:pPr>
            <w:r>
              <w:rPr>
                <w:sz w:val="24"/>
              </w:rPr>
              <w:t>Topic</w:t>
            </w:r>
          </w:p>
        </w:tc>
        <w:tc>
          <w:tcPr>
            <w:tcW w:w="3544" w:type="dxa"/>
          </w:tcPr>
          <w:p w:rsidR="003E4ED6" w:rsidRPr="00AB7341" w:rsidRDefault="003E4ED6" w:rsidP="00C911F0">
            <w:pPr>
              <w:jc w:val="center"/>
              <w:cnfStyle w:val="100000000000" w:firstRow="1" w:lastRow="0" w:firstColumn="0" w:lastColumn="0" w:oddVBand="0" w:evenVBand="0" w:oddHBand="0" w:evenHBand="0" w:firstRowFirstColumn="0" w:firstRowLastColumn="0" w:lastRowFirstColumn="0" w:lastRowLastColumn="0"/>
              <w:rPr>
                <w:b w:val="0"/>
                <w:i/>
              </w:rPr>
            </w:pPr>
            <w:r w:rsidRPr="00AB7341">
              <w:rPr>
                <w:sz w:val="24"/>
              </w:rPr>
              <w:t>Why</w:t>
            </w:r>
          </w:p>
        </w:tc>
        <w:tc>
          <w:tcPr>
            <w:tcW w:w="2268" w:type="dxa"/>
          </w:tcPr>
          <w:p w:rsidR="003E4ED6" w:rsidRPr="00AB7341" w:rsidRDefault="003E4ED6" w:rsidP="00C911F0">
            <w:pPr>
              <w:jc w:val="center"/>
              <w:cnfStyle w:val="100000000000" w:firstRow="1" w:lastRow="0" w:firstColumn="0" w:lastColumn="0" w:oddVBand="0" w:evenVBand="0" w:oddHBand="0" w:evenHBand="0" w:firstRowFirstColumn="0" w:firstRowLastColumn="0" w:lastRowFirstColumn="0" w:lastRowLastColumn="0"/>
              <w:rPr>
                <w:b w:val="0"/>
                <w:i/>
                <w:sz w:val="24"/>
              </w:rPr>
            </w:pPr>
            <w:r w:rsidRPr="00AB7341">
              <w:rPr>
                <w:sz w:val="24"/>
              </w:rPr>
              <w:t>Outcome</w:t>
            </w:r>
          </w:p>
        </w:tc>
        <w:tc>
          <w:tcPr>
            <w:tcW w:w="2003" w:type="dxa"/>
          </w:tcPr>
          <w:p w:rsidR="003E4ED6" w:rsidRPr="00766C01" w:rsidRDefault="003E4ED6" w:rsidP="00C911F0">
            <w:pPr>
              <w:jc w:val="center"/>
              <w:cnfStyle w:val="100000000000" w:firstRow="1" w:lastRow="0" w:firstColumn="0" w:lastColumn="0" w:oddVBand="0" w:evenVBand="0" w:oddHBand="0" w:evenHBand="0" w:firstRowFirstColumn="0" w:firstRowLastColumn="0" w:lastRowFirstColumn="0" w:lastRowLastColumn="0"/>
              <w:rPr>
                <w:b w:val="0"/>
                <w:i/>
                <w:sz w:val="24"/>
              </w:rPr>
            </w:pPr>
            <w:r>
              <w:rPr>
                <w:sz w:val="24"/>
              </w:rPr>
              <w:t>Methodology</w:t>
            </w:r>
          </w:p>
        </w:tc>
        <w:tc>
          <w:tcPr>
            <w:tcW w:w="4092" w:type="dxa"/>
          </w:tcPr>
          <w:p w:rsidR="003E4ED6" w:rsidRDefault="00097CE3" w:rsidP="00AB7341">
            <w:pPr>
              <w:jc w:val="center"/>
              <w:cnfStyle w:val="100000000000" w:firstRow="1" w:lastRow="0" w:firstColumn="0" w:lastColumn="0" w:oddVBand="0" w:evenVBand="0" w:oddHBand="0" w:evenHBand="0" w:firstRowFirstColumn="0" w:firstRowLastColumn="0" w:lastRowFirstColumn="0" w:lastRowLastColumn="0"/>
              <w:rPr>
                <w:sz w:val="24"/>
              </w:rPr>
            </w:pPr>
            <w:r>
              <w:rPr>
                <w:sz w:val="24"/>
              </w:rPr>
              <w:t>Comment</w:t>
            </w: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6"/>
            <w:shd w:val="clear" w:color="auto" w:fill="FABF8F" w:themeFill="accent6" w:themeFillTint="99"/>
          </w:tcPr>
          <w:p w:rsidR="003E4ED6" w:rsidRDefault="003E4ED6" w:rsidP="003E4ED6">
            <w:pPr>
              <w:jc w:val="center"/>
            </w:pPr>
            <w:r>
              <w:t>Challenge Panels</w:t>
            </w: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Default="003E4ED6" w:rsidP="00DE5AE1">
            <w:r>
              <w:t>1</w:t>
            </w:r>
          </w:p>
        </w:tc>
        <w:tc>
          <w:tcPr>
            <w:tcW w:w="1843" w:type="dxa"/>
          </w:tcPr>
          <w:p w:rsidR="003E4ED6" w:rsidRPr="008643EB" w:rsidRDefault="003E4ED6" w:rsidP="00DE5AE1">
            <w:pPr>
              <w:cnfStyle w:val="000000000000" w:firstRow="0" w:lastRow="0" w:firstColumn="0" w:lastColumn="0" w:oddVBand="0" w:evenVBand="0" w:oddHBand="0" w:evenHBand="0" w:firstRowFirstColumn="0" w:firstRowLastColumn="0" w:lastRowFirstColumn="0" w:lastRowLastColumn="0"/>
              <w:rPr>
                <w:b/>
              </w:rPr>
            </w:pPr>
            <w:r>
              <w:rPr>
                <w:b/>
              </w:rPr>
              <w:t>Community Involvement in Parks</w:t>
            </w:r>
          </w:p>
        </w:tc>
        <w:tc>
          <w:tcPr>
            <w:tcW w:w="3544" w:type="dxa"/>
          </w:tcPr>
          <w:p w:rsidR="003E4ED6" w:rsidRPr="00BF2B31" w:rsidRDefault="003E4ED6" w:rsidP="00853186">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To examine the current levels of community involvement in Harrow’s parks. To develop an understanding of what residents want from their local parks. To explore innovative practices in the delivery of park services. To identify ways in which Harrow Council can best deliver 21</w:t>
            </w:r>
            <w:r w:rsidRPr="00BF2B31">
              <w:rPr>
                <w:sz w:val="20"/>
                <w:szCs w:val="20"/>
                <w:vertAlign w:val="superscript"/>
              </w:rPr>
              <w:t>st</w:t>
            </w:r>
            <w:r w:rsidRPr="00BF2B31">
              <w:rPr>
                <w:sz w:val="20"/>
                <w:szCs w:val="20"/>
              </w:rPr>
              <w:t xml:space="preserve"> century parks for residents. To inform the development of Harrow’s parks and open spaces strategy 2016-19. To develop the park users’ forums. To inform the progress of Project Phoenix and the commercialisation strategy for parks.</w:t>
            </w:r>
          </w:p>
        </w:tc>
        <w:tc>
          <w:tcPr>
            <w:tcW w:w="2268"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Supports service improvement</w:t>
            </w:r>
          </w:p>
        </w:tc>
        <w:tc>
          <w:tcPr>
            <w:tcW w:w="2003"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Challenge Panel</w:t>
            </w:r>
          </w:p>
        </w:tc>
        <w:tc>
          <w:tcPr>
            <w:tcW w:w="4092" w:type="dxa"/>
          </w:tcPr>
          <w:p w:rsidR="003E4ED6" w:rsidRPr="00BF2B31" w:rsidRDefault="00C911F0" w:rsidP="00C911F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This review has started. Challenge panel will take place in June and report in July.</w:t>
            </w:r>
          </w:p>
        </w:tc>
      </w:tr>
      <w:tr w:rsidR="003E4ED6" w:rsidTr="00C911F0">
        <w:trPr>
          <w:cnfStyle w:val="000000100000" w:firstRow="0" w:lastRow="0" w:firstColumn="0" w:lastColumn="0" w:oddVBand="0" w:evenVBand="0" w:oddHBand="1" w:evenHBand="0"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DE5AE1">
            <w:r>
              <w:t>2</w:t>
            </w:r>
          </w:p>
        </w:tc>
        <w:tc>
          <w:tcPr>
            <w:tcW w:w="1843" w:type="dxa"/>
          </w:tcPr>
          <w:p w:rsidR="003E4ED6" w:rsidRPr="008643EB" w:rsidRDefault="003E4ED6" w:rsidP="00DE5AE1">
            <w:pPr>
              <w:cnfStyle w:val="000000100000" w:firstRow="0" w:lastRow="0" w:firstColumn="0" w:lastColumn="0" w:oddVBand="0" w:evenVBand="0" w:oddHBand="1" w:evenHBand="0" w:firstRowFirstColumn="0" w:firstRowLastColumn="0" w:lastRowFirstColumn="0" w:lastRowLastColumn="0"/>
              <w:rPr>
                <w:b/>
              </w:rPr>
            </w:pPr>
            <w:r w:rsidRPr="008643EB">
              <w:rPr>
                <w:b/>
              </w:rPr>
              <w:t>Maximising Volunteering</w:t>
            </w:r>
          </w:p>
        </w:tc>
        <w:tc>
          <w:tcPr>
            <w:tcW w:w="3544" w:type="dxa"/>
          </w:tcPr>
          <w:p w:rsidR="003E4ED6" w:rsidRPr="00BF2B31" w:rsidRDefault="00C911F0" w:rsidP="00C911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council has an</w:t>
            </w:r>
            <w:r w:rsidR="003E4ED6" w:rsidRPr="00BF2B31">
              <w:rPr>
                <w:sz w:val="20"/>
                <w:szCs w:val="20"/>
              </w:rPr>
              <w:t xml:space="preserve"> ambition to maximise volunteering</w:t>
            </w:r>
            <w:r>
              <w:rPr>
                <w:sz w:val="20"/>
                <w:szCs w:val="20"/>
              </w:rPr>
              <w:t xml:space="preserve"> in the Harrow Ambition Plan, what are the </w:t>
            </w:r>
            <w:r w:rsidR="006A2F53">
              <w:rPr>
                <w:sz w:val="20"/>
                <w:szCs w:val="20"/>
              </w:rPr>
              <w:t>barriers currently faced by res</w:t>
            </w:r>
            <w:r>
              <w:rPr>
                <w:sz w:val="20"/>
                <w:szCs w:val="20"/>
              </w:rPr>
              <w:t>idents</w:t>
            </w:r>
            <w:r w:rsidR="006A2F53">
              <w:rPr>
                <w:sz w:val="20"/>
                <w:szCs w:val="20"/>
              </w:rPr>
              <w:t xml:space="preserve"> </w:t>
            </w:r>
            <w:r>
              <w:rPr>
                <w:sz w:val="20"/>
                <w:szCs w:val="20"/>
              </w:rPr>
              <w:t>wanting to volunteer</w:t>
            </w:r>
            <w:r w:rsidR="006A2F53">
              <w:rPr>
                <w:sz w:val="20"/>
                <w:szCs w:val="20"/>
              </w:rPr>
              <w:t xml:space="preserve"> or organisations needing to recruit volunteers</w:t>
            </w:r>
            <w:r>
              <w:rPr>
                <w:sz w:val="20"/>
                <w:szCs w:val="20"/>
              </w:rPr>
              <w:t>?</w:t>
            </w:r>
          </w:p>
        </w:tc>
        <w:tc>
          <w:tcPr>
            <w:tcW w:w="2268"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Supports the Council &amp; Executive in the development of strategy/policy before the decisions are made</w:t>
            </w:r>
          </w:p>
        </w:tc>
        <w:tc>
          <w:tcPr>
            <w:tcW w:w="2003"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Challenge Panel</w:t>
            </w:r>
          </w:p>
        </w:tc>
        <w:tc>
          <w:tcPr>
            <w:tcW w:w="4092"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sz w:val="20"/>
                <w:szCs w:val="20"/>
              </w:rPr>
            </w:pP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4A669B">
            <w:pPr>
              <w:rPr>
                <w:rFonts w:asciiTheme="minorHAnsi" w:hAnsiTheme="minorHAnsi" w:cs="Times New Roman"/>
              </w:rPr>
            </w:pPr>
            <w:r>
              <w:rPr>
                <w:rFonts w:asciiTheme="minorHAnsi" w:hAnsiTheme="minorHAnsi" w:cs="Times New Roman"/>
              </w:rPr>
              <w:t>3</w:t>
            </w:r>
          </w:p>
        </w:tc>
        <w:tc>
          <w:tcPr>
            <w:tcW w:w="1843" w:type="dxa"/>
          </w:tcPr>
          <w:p w:rsidR="003E4ED6" w:rsidRPr="008643EB" w:rsidRDefault="00C911F0" w:rsidP="00DE5AE1">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rPr>
            </w:pPr>
            <w:r>
              <w:rPr>
                <w:rFonts w:asciiTheme="minorHAnsi" w:hAnsiTheme="minorHAnsi" w:cs="Times New Roman"/>
                <w:b/>
              </w:rPr>
              <w:t>Homelessness</w:t>
            </w:r>
            <w:r w:rsidR="003E4ED6" w:rsidRPr="008643EB">
              <w:rPr>
                <w:rFonts w:asciiTheme="minorHAnsi" w:hAnsiTheme="minorHAnsi" w:cs="Times New Roman"/>
                <w:b/>
              </w:rPr>
              <w:t xml:space="preserve"> </w:t>
            </w:r>
          </w:p>
        </w:tc>
        <w:tc>
          <w:tcPr>
            <w:tcW w:w="3544" w:type="dxa"/>
          </w:tcPr>
          <w:p w:rsidR="003E4ED6" w:rsidRPr="00BF2B31" w:rsidRDefault="00525AA7" w:rsidP="00525AA7">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525AA7">
              <w:rPr>
                <w:rFonts w:asciiTheme="minorHAnsi" w:hAnsiTheme="minorHAnsi" w:cs="Times New Roman"/>
                <w:sz w:val="20"/>
                <w:szCs w:val="20"/>
              </w:rPr>
              <w:t xml:space="preserve">What is the problem, who is presenting as homeless, what is the breakdown of housing need, what are we doing about it, what factors are being taking into account for planning purposes?  </w:t>
            </w:r>
            <w:r>
              <w:rPr>
                <w:rFonts w:asciiTheme="minorHAnsi" w:hAnsiTheme="minorHAnsi" w:cs="Times New Roman"/>
                <w:sz w:val="20"/>
                <w:szCs w:val="20"/>
              </w:rPr>
              <w:t>A</w:t>
            </w:r>
            <w:r w:rsidRPr="00BF2B31">
              <w:rPr>
                <w:rFonts w:asciiTheme="minorHAnsi" w:hAnsiTheme="minorHAnsi" w:cs="Times New Roman"/>
                <w:sz w:val="20"/>
                <w:szCs w:val="20"/>
              </w:rPr>
              <w:t xml:space="preserve">re our policies in preventing homelessness? </w:t>
            </w:r>
            <w:r w:rsidRPr="00525AA7">
              <w:rPr>
                <w:rFonts w:asciiTheme="minorHAnsi" w:hAnsiTheme="minorHAnsi" w:cs="Times New Roman"/>
                <w:sz w:val="20"/>
                <w:szCs w:val="20"/>
              </w:rPr>
              <w:t>A1 risk</w:t>
            </w:r>
            <w:r>
              <w:rPr>
                <w:rFonts w:asciiTheme="minorHAnsi" w:hAnsiTheme="minorHAnsi" w:cs="Times New Roman"/>
                <w:sz w:val="20"/>
                <w:szCs w:val="20"/>
              </w:rPr>
              <w:t xml:space="preserve"> for the Council</w:t>
            </w:r>
            <w:r w:rsidR="003E4ED6" w:rsidRPr="00BF2B31">
              <w:rPr>
                <w:rFonts w:asciiTheme="minorHAnsi" w:hAnsiTheme="minorHAnsi" w:cs="Times New Roman"/>
                <w:sz w:val="20"/>
                <w:szCs w:val="20"/>
              </w:rPr>
              <w:t>.</w:t>
            </w:r>
          </w:p>
        </w:tc>
        <w:tc>
          <w:tcPr>
            <w:tcW w:w="2268"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lastRenderedPageBreak/>
              <w:t xml:space="preserve">The strain on the Council's budget with reduced government </w:t>
            </w:r>
            <w:r w:rsidRPr="00BF2B31">
              <w:rPr>
                <w:rFonts w:asciiTheme="minorHAnsi" w:hAnsiTheme="minorHAnsi" w:cs="Times New Roman"/>
                <w:sz w:val="20"/>
                <w:szCs w:val="20"/>
              </w:rPr>
              <w:lastRenderedPageBreak/>
              <w:t>grants may divert revenue to areas of other services?</w:t>
            </w:r>
          </w:p>
        </w:tc>
        <w:tc>
          <w:tcPr>
            <w:tcW w:w="2003"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lastRenderedPageBreak/>
              <w:t>Challenge Panel</w:t>
            </w:r>
          </w:p>
        </w:tc>
        <w:tc>
          <w:tcPr>
            <w:tcW w:w="4092" w:type="dxa"/>
          </w:tcPr>
          <w:p w:rsidR="003E4ED6" w:rsidRPr="00BF2B31" w:rsidRDefault="00C911F0" w:rsidP="00C911F0">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Pr>
                <w:rFonts w:asciiTheme="minorHAnsi" w:hAnsiTheme="minorHAnsi" w:cs="Times New Roman"/>
                <w:sz w:val="20"/>
                <w:szCs w:val="20"/>
              </w:rPr>
              <w:t>A comprehensive report</w:t>
            </w:r>
            <w:r w:rsidR="00BF2B31" w:rsidRPr="00BF2B31">
              <w:rPr>
                <w:rFonts w:asciiTheme="minorHAnsi" w:hAnsiTheme="minorHAnsi" w:cs="Times New Roman"/>
                <w:sz w:val="20"/>
                <w:szCs w:val="20"/>
              </w:rPr>
              <w:t xml:space="preserve"> </w:t>
            </w:r>
            <w:r>
              <w:rPr>
                <w:rFonts w:asciiTheme="minorHAnsi" w:hAnsiTheme="minorHAnsi" w:cs="Times New Roman"/>
                <w:sz w:val="20"/>
                <w:szCs w:val="20"/>
              </w:rPr>
              <w:t>to</w:t>
            </w:r>
            <w:r w:rsidR="00BF2B31" w:rsidRPr="00BF2B31">
              <w:rPr>
                <w:rFonts w:asciiTheme="minorHAnsi" w:hAnsiTheme="minorHAnsi" w:cs="Times New Roman"/>
                <w:sz w:val="20"/>
                <w:szCs w:val="20"/>
              </w:rPr>
              <w:t xml:space="preserve"> come to committee first </w:t>
            </w:r>
            <w:r w:rsidR="006C66D8">
              <w:rPr>
                <w:rFonts w:asciiTheme="minorHAnsi" w:hAnsiTheme="minorHAnsi" w:cs="Times New Roman"/>
                <w:sz w:val="20"/>
                <w:szCs w:val="20"/>
              </w:rPr>
              <w:t xml:space="preserve">in June </w:t>
            </w:r>
            <w:r w:rsidR="00BF2B31" w:rsidRPr="00BF2B31">
              <w:rPr>
                <w:rFonts w:asciiTheme="minorHAnsi" w:hAnsiTheme="minorHAnsi" w:cs="Times New Roman"/>
                <w:sz w:val="20"/>
                <w:szCs w:val="20"/>
              </w:rPr>
              <w:t>as part of the process for defining the scope for a scrutiny project</w:t>
            </w:r>
            <w:r>
              <w:rPr>
                <w:rFonts w:asciiTheme="minorHAnsi" w:hAnsiTheme="minorHAnsi" w:cs="Times New Roman"/>
                <w:sz w:val="20"/>
                <w:szCs w:val="20"/>
              </w:rPr>
              <w:t xml:space="preserve"> that doesn’t duplicate other work going on in this field</w:t>
            </w:r>
            <w:r w:rsidR="00BF2B31" w:rsidRPr="00BF2B31">
              <w:rPr>
                <w:rFonts w:asciiTheme="minorHAnsi" w:hAnsiTheme="minorHAnsi" w:cs="Times New Roman"/>
                <w:sz w:val="20"/>
                <w:szCs w:val="20"/>
              </w:rPr>
              <w:t xml:space="preserve">.  </w:t>
            </w:r>
          </w:p>
        </w:tc>
      </w:tr>
      <w:tr w:rsidR="003E4ED6" w:rsidTr="00525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3E4ED6" w:rsidRPr="008643EB" w:rsidRDefault="003E4ED6" w:rsidP="004A669B">
            <w:pPr>
              <w:spacing w:after="0" w:line="240" w:lineRule="auto"/>
            </w:pPr>
            <w:r>
              <w:lastRenderedPageBreak/>
              <w:t>4</w:t>
            </w:r>
          </w:p>
        </w:tc>
        <w:tc>
          <w:tcPr>
            <w:tcW w:w="1843" w:type="dxa"/>
            <w:tcBorders>
              <w:bottom w:val="single" w:sz="8" w:space="0" w:color="9F8AB9" w:themeColor="accent4" w:themeTint="BF"/>
            </w:tcBorders>
          </w:tcPr>
          <w:p w:rsidR="003E4ED6" w:rsidRPr="008643EB"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8643EB">
              <w:rPr>
                <w:b/>
              </w:rPr>
              <w:t>Shared service arrangements</w:t>
            </w:r>
          </w:p>
        </w:tc>
        <w:tc>
          <w:tcPr>
            <w:tcW w:w="3544" w:type="dxa"/>
            <w:tcBorders>
              <w:bottom w:val="single" w:sz="8" w:space="0" w:color="9F8AB9" w:themeColor="accent4" w:themeTint="BF"/>
            </w:tcBorders>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Review the efficiency and effectiveness of the various shared service arrangements we have</w:t>
            </w:r>
            <w:r w:rsidR="00BF2B31">
              <w:rPr>
                <w:rFonts w:asciiTheme="minorHAnsi" w:eastAsia="Times New Roman" w:hAnsiTheme="minorHAnsi" w:cs="Times New Roman"/>
                <w:sz w:val="20"/>
                <w:szCs w:val="20"/>
              </w:rPr>
              <w:t>. Scrutiny is interested in issues around political arrangements, accountability and lessons for sharing larger services in the future.</w:t>
            </w:r>
          </w:p>
        </w:tc>
        <w:tc>
          <w:tcPr>
            <w:tcW w:w="2268" w:type="dxa"/>
            <w:tcBorders>
              <w:bottom w:val="single" w:sz="8" w:space="0" w:color="9F8AB9" w:themeColor="accent4" w:themeTint="BF"/>
            </w:tcBorders>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Helps secure service improvements</w:t>
            </w:r>
          </w:p>
        </w:tc>
        <w:tc>
          <w:tcPr>
            <w:tcW w:w="2003" w:type="dxa"/>
            <w:tcBorders>
              <w:bottom w:val="single" w:sz="8" w:space="0" w:color="9F8AB9" w:themeColor="accent4" w:themeTint="BF"/>
            </w:tcBorders>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Challenge panel</w:t>
            </w:r>
          </w:p>
        </w:tc>
        <w:tc>
          <w:tcPr>
            <w:tcW w:w="4092" w:type="dxa"/>
            <w:tcBorders>
              <w:bottom w:val="single" w:sz="8" w:space="0" w:color="9F8AB9" w:themeColor="accent4" w:themeTint="BF"/>
            </w:tcBorders>
          </w:tcPr>
          <w:p w:rsidR="003E4ED6" w:rsidRPr="00BF2B31" w:rsidRDefault="00097CE3" w:rsidP="00BF2B31">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Internal Audit wil</w:t>
            </w:r>
            <w:r w:rsidR="00BF2B31">
              <w:rPr>
                <w:sz w:val="20"/>
                <w:szCs w:val="20"/>
              </w:rPr>
              <w:t xml:space="preserve">l be looking at this this year. Scrutiny to define the scope for this challenge panel </w:t>
            </w:r>
            <w:r w:rsidRPr="00BF2B31">
              <w:rPr>
                <w:sz w:val="20"/>
                <w:szCs w:val="20"/>
              </w:rPr>
              <w:t xml:space="preserve">once the audit report has been published. </w:t>
            </w:r>
            <w:r w:rsidR="00BF2B31">
              <w:rPr>
                <w:sz w:val="20"/>
                <w:szCs w:val="20"/>
              </w:rPr>
              <w:t xml:space="preserve">The Internal Audit report would then form part of the background papers for the challenge panel. </w:t>
            </w:r>
            <w:r w:rsidRPr="00BF2B31">
              <w:rPr>
                <w:sz w:val="20"/>
                <w:szCs w:val="20"/>
              </w:rPr>
              <w:t xml:space="preserve">The audit review would </w:t>
            </w:r>
            <w:proofErr w:type="gramStart"/>
            <w:r w:rsidRPr="00BF2B31">
              <w:rPr>
                <w:sz w:val="20"/>
                <w:szCs w:val="20"/>
              </w:rPr>
              <w:t>not  be</w:t>
            </w:r>
            <w:proofErr w:type="gramEnd"/>
            <w:r w:rsidRPr="00BF2B31">
              <w:rPr>
                <w:sz w:val="20"/>
                <w:szCs w:val="20"/>
              </w:rPr>
              <w:t xml:space="preserve"> considering the role of scrutiny in shared service governance arrangements</w:t>
            </w:r>
            <w:r w:rsidR="00BF2B31">
              <w:rPr>
                <w:sz w:val="20"/>
                <w:szCs w:val="20"/>
              </w:rPr>
              <w:t>.</w:t>
            </w:r>
          </w:p>
        </w:tc>
      </w:tr>
      <w:tr w:rsidR="00525AA7" w:rsidTr="00525AA7">
        <w:tc>
          <w:tcPr>
            <w:cnfStyle w:val="001000000000" w:firstRow="0" w:lastRow="0" w:firstColumn="1" w:lastColumn="0" w:oddVBand="0" w:evenVBand="0" w:oddHBand="0" w:evenHBand="0" w:firstRowFirstColumn="0" w:firstRowLastColumn="0" w:lastRowFirstColumn="0" w:lastRowLastColumn="0"/>
            <w:tcW w:w="14425" w:type="dxa"/>
            <w:gridSpan w:val="6"/>
            <w:tcBorders>
              <w:bottom w:val="single" w:sz="8" w:space="0" w:color="9F8AB9" w:themeColor="accent4" w:themeTint="BF"/>
            </w:tcBorders>
            <w:shd w:val="clear" w:color="auto" w:fill="FBD4B4" w:themeFill="accent6" w:themeFillTint="66"/>
          </w:tcPr>
          <w:p w:rsidR="00525AA7" w:rsidRDefault="00525AA7" w:rsidP="00525AA7">
            <w:pPr>
              <w:jc w:val="center"/>
              <w:rPr>
                <w:sz w:val="20"/>
                <w:szCs w:val="20"/>
              </w:rPr>
            </w:pPr>
            <w:r>
              <w:rPr>
                <w:sz w:val="20"/>
                <w:szCs w:val="20"/>
              </w:rPr>
              <w:t>Other Scrutiny Support</w:t>
            </w: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3E4ED6" w:rsidRDefault="003E4ED6" w:rsidP="004A669B">
            <w:pPr>
              <w:spacing w:after="0" w:line="240" w:lineRule="auto"/>
            </w:pPr>
            <w:r>
              <w:t>5</w:t>
            </w:r>
          </w:p>
        </w:tc>
        <w:tc>
          <w:tcPr>
            <w:tcW w:w="1843" w:type="dxa"/>
            <w:tcBorders>
              <w:bottom w:val="single" w:sz="8" w:space="0" w:color="9F8AB9" w:themeColor="accent4" w:themeTint="BF"/>
            </w:tcBorders>
          </w:tcPr>
          <w:p w:rsidR="003E4ED6" w:rsidRPr="008643EB" w:rsidRDefault="00894C04" w:rsidP="00A37980">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Health</w:t>
            </w:r>
          </w:p>
        </w:tc>
        <w:tc>
          <w:tcPr>
            <w:tcW w:w="3544" w:type="dxa"/>
            <w:tcBorders>
              <w:bottom w:val="single" w:sz="8" w:space="0" w:color="9F8AB9" w:themeColor="accent4" w:themeTint="BF"/>
            </w:tcBorders>
          </w:tcPr>
          <w:p w:rsidR="003E4ED6" w:rsidRPr="00BF2B31" w:rsidRDefault="0088163E" w:rsidP="008816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The continued roll out of Shaping a Healthier Future and its impact on the performance of Northwick Park and delivery of Harrow Out of Hospital Strategy and access to GPs remain important issues for Harrow residents following the Independent Healthcare Commission report. </w:t>
            </w:r>
          </w:p>
        </w:tc>
        <w:tc>
          <w:tcPr>
            <w:tcW w:w="2268" w:type="dxa"/>
            <w:tcBorders>
              <w:bottom w:val="single" w:sz="8" w:space="0" w:color="9F8AB9" w:themeColor="accent4" w:themeTint="BF"/>
            </w:tcBorders>
          </w:tcPr>
          <w:p w:rsidR="003E4ED6" w:rsidRPr="00BF2B31" w:rsidRDefault="0088163E" w:rsidP="00A37980">
            <w:pPr>
              <w:cnfStyle w:val="000000100000" w:firstRow="0" w:lastRow="0" w:firstColumn="0" w:lastColumn="0" w:oddVBand="0" w:evenVBand="0" w:oddHBand="1" w:evenHBand="0" w:firstRowFirstColumn="0" w:firstRowLastColumn="0" w:lastRowFirstColumn="0" w:lastRowLastColumn="0"/>
              <w:rPr>
                <w:sz w:val="20"/>
                <w:szCs w:val="20"/>
              </w:rPr>
            </w:pPr>
            <w:r w:rsidRPr="0088163E">
              <w:rPr>
                <w:sz w:val="20"/>
                <w:szCs w:val="20"/>
              </w:rPr>
              <w:t>Helps secure service improvements Champions issues of concern to local people</w:t>
            </w:r>
          </w:p>
        </w:tc>
        <w:tc>
          <w:tcPr>
            <w:tcW w:w="2003" w:type="dxa"/>
            <w:tcBorders>
              <w:bottom w:val="single" w:sz="8" w:space="0" w:color="9F8AB9" w:themeColor="accent4" w:themeTint="BF"/>
            </w:tcBorders>
          </w:tcPr>
          <w:p w:rsidR="003E4ED6" w:rsidRPr="00BF2B31" w:rsidRDefault="0088163E" w:rsidP="00A379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Capacity for visits, additional research and engagement</w:t>
            </w:r>
          </w:p>
        </w:tc>
        <w:tc>
          <w:tcPr>
            <w:tcW w:w="4092" w:type="dxa"/>
            <w:tcBorders>
              <w:bottom w:val="single" w:sz="8" w:space="0" w:color="9F8AB9" w:themeColor="accent4" w:themeTint="BF"/>
            </w:tcBorders>
          </w:tcPr>
          <w:p w:rsidR="003E4ED6" w:rsidRPr="00BF2B31" w:rsidRDefault="0088163E" w:rsidP="00525A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 health sub only meet 3 times a year their ability to influence anything in a timely manner is </w:t>
            </w:r>
            <w:r w:rsidR="00525AA7">
              <w:rPr>
                <w:sz w:val="20"/>
                <w:szCs w:val="20"/>
              </w:rPr>
              <w:t>limited</w:t>
            </w:r>
            <w:r>
              <w:rPr>
                <w:sz w:val="20"/>
                <w:szCs w:val="20"/>
              </w:rPr>
              <w:t xml:space="preserve">. By using </w:t>
            </w:r>
            <w:r w:rsidR="00525AA7">
              <w:rPr>
                <w:sz w:val="20"/>
                <w:szCs w:val="20"/>
              </w:rPr>
              <w:t xml:space="preserve">additional officer capacity </w:t>
            </w:r>
            <w:r>
              <w:rPr>
                <w:sz w:val="20"/>
                <w:szCs w:val="20"/>
              </w:rPr>
              <w:t>we can ensure we are engaged in the right consultations and undertaking proactive research that will enhance the quality of our health scrutiny in Harrow.</w:t>
            </w:r>
          </w:p>
        </w:tc>
      </w:tr>
      <w:tr w:rsidR="003E4ED6" w:rsidTr="00BF2B31">
        <w:tc>
          <w:tcPr>
            <w:cnfStyle w:val="001000000000" w:firstRow="0" w:lastRow="0" w:firstColumn="1" w:lastColumn="0" w:oddVBand="0" w:evenVBand="0" w:oddHBand="0" w:evenHBand="0" w:firstRowFirstColumn="0" w:firstRowLastColumn="0" w:lastRowFirstColumn="0" w:lastRowLastColumn="0"/>
            <w:tcW w:w="14425" w:type="dxa"/>
            <w:gridSpan w:val="6"/>
            <w:shd w:val="clear" w:color="auto" w:fill="FABF8F" w:themeFill="accent6" w:themeFillTint="99"/>
          </w:tcPr>
          <w:p w:rsidR="003E4ED6" w:rsidRPr="00BF2B31" w:rsidRDefault="003E4ED6" w:rsidP="004A669B">
            <w:pPr>
              <w:jc w:val="center"/>
              <w:rPr>
                <w:rFonts w:asciiTheme="minorHAnsi" w:hAnsiTheme="minorHAnsi" w:cs="Times New Roman"/>
                <w:sz w:val="20"/>
                <w:szCs w:val="20"/>
              </w:rPr>
            </w:pPr>
            <w:r w:rsidRPr="00BF2B31">
              <w:rPr>
                <w:rFonts w:asciiTheme="minorHAnsi" w:hAnsiTheme="minorHAnsi" w:cs="Times New Roman"/>
                <w:sz w:val="20"/>
                <w:szCs w:val="20"/>
              </w:rPr>
              <w:t>Health Committee</w:t>
            </w: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DE5AE1">
            <w:pPr>
              <w:rPr>
                <w:rFonts w:asciiTheme="minorHAnsi" w:hAnsiTheme="minorHAnsi" w:cs="Times New Roman"/>
              </w:rPr>
            </w:pPr>
            <w:r>
              <w:rPr>
                <w:rFonts w:asciiTheme="minorHAnsi" w:hAnsiTheme="minorHAnsi" w:cs="Times New Roman"/>
              </w:rPr>
              <w:t>6</w:t>
            </w:r>
          </w:p>
        </w:tc>
        <w:tc>
          <w:tcPr>
            <w:tcW w:w="1843" w:type="dxa"/>
          </w:tcPr>
          <w:p w:rsidR="003E4ED6" w:rsidRPr="008643EB" w:rsidRDefault="003E4ED6" w:rsidP="00DE5AE1">
            <w:pPr>
              <w:cnfStyle w:val="000000100000" w:firstRow="0" w:lastRow="0" w:firstColumn="0" w:lastColumn="0" w:oddVBand="0" w:evenVBand="0" w:oddHBand="1" w:evenHBand="0" w:firstRowFirstColumn="0" w:firstRowLastColumn="0" w:lastRowFirstColumn="0" w:lastRowLastColumn="0"/>
              <w:rPr>
                <w:rFonts w:asciiTheme="minorHAnsi" w:hAnsiTheme="minorHAnsi" w:cs="Tahoma"/>
                <w:b/>
                <w:lang w:val="en-US"/>
              </w:rPr>
            </w:pPr>
            <w:r w:rsidRPr="008643EB">
              <w:rPr>
                <w:rFonts w:asciiTheme="minorHAnsi" w:hAnsiTheme="minorHAnsi" w:cs="Times New Roman"/>
                <w:b/>
              </w:rPr>
              <w:t xml:space="preserve">Smoking cessation </w:t>
            </w:r>
            <w:r w:rsidRPr="008643EB">
              <w:rPr>
                <w:rFonts w:asciiTheme="minorHAnsi" w:hAnsiTheme="minorHAnsi" w:cs="Times New Roman"/>
                <w:b/>
              </w:rPr>
              <w:lastRenderedPageBreak/>
              <w:t xml:space="preserve">numbers quitting </w:t>
            </w:r>
          </w:p>
        </w:tc>
        <w:tc>
          <w:tcPr>
            <w:tcW w:w="3544"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F2B31">
              <w:rPr>
                <w:rFonts w:asciiTheme="minorHAnsi" w:hAnsiTheme="minorHAnsi" w:cs="Times New Roman"/>
                <w:sz w:val="20"/>
                <w:szCs w:val="20"/>
              </w:rPr>
              <w:lastRenderedPageBreak/>
              <w:t xml:space="preserve">Is our approach right? The targets for numbers quitting continually to well below target so is why go about seeking </w:t>
            </w:r>
            <w:r w:rsidRPr="00BF2B31">
              <w:rPr>
                <w:rFonts w:asciiTheme="minorHAnsi" w:hAnsiTheme="minorHAnsi" w:cs="Times New Roman"/>
                <w:sz w:val="20"/>
                <w:szCs w:val="20"/>
              </w:rPr>
              <w:lastRenderedPageBreak/>
              <w:t>to help quitters right?</w:t>
            </w:r>
          </w:p>
        </w:tc>
        <w:tc>
          <w:tcPr>
            <w:tcW w:w="2268"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BF2B31">
              <w:rPr>
                <w:rFonts w:asciiTheme="minorHAnsi" w:hAnsiTheme="minorHAnsi" w:cs="Times New Roman"/>
                <w:sz w:val="20"/>
                <w:szCs w:val="20"/>
              </w:rPr>
              <w:lastRenderedPageBreak/>
              <w:t xml:space="preserve">Spending on public health may be reduced. The outcome is better </w:t>
            </w:r>
            <w:r w:rsidRPr="00BF2B31">
              <w:rPr>
                <w:rFonts w:asciiTheme="minorHAnsi" w:hAnsiTheme="minorHAnsi" w:cs="Times New Roman"/>
                <w:sz w:val="20"/>
                <w:szCs w:val="20"/>
              </w:rPr>
              <w:lastRenderedPageBreak/>
              <w:t>health for those who quit.</w:t>
            </w:r>
          </w:p>
        </w:tc>
        <w:tc>
          <w:tcPr>
            <w:tcW w:w="2003"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lastRenderedPageBreak/>
              <w:t>Health Committee</w:t>
            </w:r>
          </w:p>
        </w:tc>
        <w:tc>
          <w:tcPr>
            <w:tcW w:w="4092"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A37980">
            <w:pPr>
              <w:spacing w:after="0" w:line="240" w:lineRule="auto"/>
              <w:rPr>
                <w:rFonts w:asciiTheme="minorHAnsi" w:eastAsia="Times New Roman" w:hAnsiTheme="minorHAnsi" w:cs="Times New Roman"/>
              </w:rPr>
            </w:pPr>
            <w:r>
              <w:rPr>
                <w:rFonts w:asciiTheme="minorHAnsi" w:eastAsia="Times New Roman" w:hAnsiTheme="minorHAnsi" w:cs="Times New Roman"/>
              </w:rPr>
              <w:lastRenderedPageBreak/>
              <w:t>7</w:t>
            </w:r>
          </w:p>
        </w:tc>
        <w:tc>
          <w:tcPr>
            <w:tcW w:w="1843" w:type="dxa"/>
          </w:tcPr>
          <w:p w:rsidR="003E4ED6" w:rsidRPr="008643EB" w:rsidRDefault="003E4ED6" w:rsidP="00A3798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rPr>
            </w:pPr>
            <w:r w:rsidRPr="008643EB">
              <w:rPr>
                <w:rFonts w:asciiTheme="minorHAnsi" w:eastAsia="Times New Roman" w:hAnsiTheme="minorHAnsi" w:cs="Times New Roman"/>
                <w:b/>
              </w:rPr>
              <w:t>Future of the walk in centres in Harrow</w:t>
            </w:r>
          </w:p>
        </w:tc>
        <w:tc>
          <w:tcPr>
            <w:tcW w:w="3544"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 xml:space="preserve">Both </w:t>
            </w:r>
            <w:proofErr w:type="spellStart"/>
            <w:r w:rsidRPr="00BF2B31">
              <w:rPr>
                <w:rFonts w:asciiTheme="minorHAnsi" w:hAnsiTheme="minorHAnsi" w:cs="Times New Roman"/>
                <w:sz w:val="20"/>
                <w:szCs w:val="20"/>
              </w:rPr>
              <w:t>Pinn</w:t>
            </w:r>
            <w:proofErr w:type="spellEnd"/>
            <w:r w:rsidRPr="00BF2B31">
              <w:rPr>
                <w:rFonts w:asciiTheme="minorHAnsi" w:hAnsiTheme="minorHAnsi" w:cs="Times New Roman"/>
                <w:sz w:val="20"/>
                <w:szCs w:val="20"/>
              </w:rPr>
              <w:t xml:space="preserve"> &amp; Alexandra Avenue are currently going through a retendering process which could see a private healthcare company replacing the current local GP led consortium that runs these centres. A final decision on this will be announced early next month. There will also be a further procurement process (again) for these centres either later this year or in 2017 following a local reorganisation of services by the CCG. Equally a new walk in centre will be built in Harrow East and the procurement process for this centre will take place at the same time as the other two centres. Possible locations for the new walk in centre include Belmont, Kenton or Honeypot Lane. There will be a public consultation by the CCG on the new walk in centre in </w:t>
            </w:r>
            <w:proofErr w:type="spellStart"/>
            <w:r w:rsidRPr="00BF2B31">
              <w:rPr>
                <w:rFonts w:asciiTheme="minorHAnsi" w:hAnsiTheme="minorHAnsi" w:cs="Times New Roman"/>
                <w:sz w:val="20"/>
                <w:szCs w:val="20"/>
              </w:rPr>
              <w:t>mid April</w:t>
            </w:r>
            <w:proofErr w:type="spellEnd"/>
            <w:r w:rsidRPr="00BF2B31">
              <w:rPr>
                <w:rFonts w:asciiTheme="minorHAnsi" w:hAnsiTheme="minorHAnsi" w:cs="Times New Roman"/>
                <w:sz w:val="20"/>
                <w:szCs w:val="20"/>
              </w:rPr>
              <w:t>.</w:t>
            </w:r>
          </w:p>
        </w:tc>
        <w:tc>
          <w:tcPr>
            <w:tcW w:w="2268"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Helps secure service improvements.  Champions issues of concern to local people</w:t>
            </w:r>
          </w:p>
        </w:tc>
        <w:tc>
          <w:tcPr>
            <w:tcW w:w="2003"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Health Committee</w:t>
            </w:r>
          </w:p>
        </w:tc>
        <w:tc>
          <w:tcPr>
            <w:tcW w:w="4092"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3E4ED6" w:rsidRPr="00A37980" w:rsidTr="00BF2B31">
        <w:trPr>
          <w:cnfStyle w:val="000000100000" w:firstRow="0" w:lastRow="0" w:firstColumn="0" w:lastColumn="0" w:oddVBand="0" w:evenVBand="0" w:oddHBand="1" w:evenHBand="0" w:firstRowFirstColumn="0" w:firstRowLastColumn="0" w:lastRowFirstColumn="0" w:lastRowLastColumn="0"/>
          <w:trHeight w:val="2115"/>
        </w:trPr>
        <w:tc>
          <w:tcPr>
            <w:cnfStyle w:val="001000000000" w:firstRow="0" w:lastRow="0" w:firstColumn="1" w:lastColumn="0" w:oddVBand="0" w:evenVBand="0" w:oddHBand="0" w:evenHBand="0" w:firstRowFirstColumn="0" w:firstRowLastColumn="0" w:lastRowFirstColumn="0" w:lastRowLastColumn="0"/>
            <w:tcW w:w="675" w:type="dxa"/>
            <w:hideMark/>
          </w:tcPr>
          <w:p w:rsidR="003E4ED6" w:rsidRPr="00A37980" w:rsidRDefault="003E4ED6" w:rsidP="00A37980">
            <w:pPr>
              <w:spacing w:after="0" w:line="240" w:lineRule="auto"/>
              <w:jc w:val="right"/>
              <w:rPr>
                <w:rFonts w:eastAsia="Times New Roman"/>
                <w:color w:val="000000"/>
                <w:lang w:eastAsia="en-GB"/>
              </w:rPr>
            </w:pPr>
            <w:r>
              <w:rPr>
                <w:rFonts w:eastAsia="Times New Roman"/>
                <w:color w:val="000000"/>
                <w:lang w:eastAsia="en-GB"/>
              </w:rPr>
              <w:t>8</w:t>
            </w:r>
          </w:p>
        </w:tc>
        <w:tc>
          <w:tcPr>
            <w:tcW w:w="1843" w:type="dxa"/>
            <w:hideMark/>
          </w:tcPr>
          <w:p w:rsidR="003E4ED6" w:rsidRPr="00A37980"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n-GB"/>
              </w:rPr>
            </w:pPr>
            <w:r w:rsidRPr="00A37980">
              <w:rPr>
                <w:rFonts w:eastAsia="Times New Roman"/>
                <w:b/>
                <w:bCs/>
                <w:color w:val="000000"/>
                <w:lang w:eastAsia="en-GB"/>
              </w:rPr>
              <w:t>Resident access to register with a GP’s and book appointments</w:t>
            </w:r>
          </w:p>
        </w:tc>
        <w:tc>
          <w:tcPr>
            <w:tcW w:w="3544" w:type="dxa"/>
            <w:hideMark/>
          </w:tcPr>
          <w:p w:rsidR="003E4ED6" w:rsidRPr="00BF2B31"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r w:rsidRPr="00BF2B31">
              <w:rPr>
                <w:rFonts w:eastAsia="Times New Roman"/>
                <w:color w:val="000000"/>
                <w:sz w:val="20"/>
                <w:szCs w:val="20"/>
                <w:lang w:eastAsia="en-GB"/>
              </w:rPr>
              <w:t>Resident feedback is telling us this is a problem, having to wait weeks for an appointment is resulting in people attending A&amp;E instead. This was further backed up by the recent Independent Healthcare Commission report into Shaping a Healthier Future</w:t>
            </w:r>
          </w:p>
        </w:tc>
        <w:tc>
          <w:tcPr>
            <w:tcW w:w="2268" w:type="dxa"/>
            <w:hideMark/>
          </w:tcPr>
          <w:p w:rsidR="003E4ED6" w:rsidRPr="00BF2B31"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r w:rsidRPr="00BF2B31">
              <w:rPr>
                <w:rFonts w:eastAsia="Times New Roman"/>
                <w:color w:val="000000"/>
                <w:sz w:val="20"/>
                <w:szCs w:val="20"/>
                <w:lang w:eastAsia="en-GB"/>
              </w:rPr>
              <w:t xml:space="preserve">Helps secure service improvements for residents, </w:t>
            </w:r>
            <w:proofErr w:type="gramStart"/>
            <w:r w:rsidRPr="00BF2B31">
              <w:rPr>
                <w:rFonts w:eastAsia="Times New Roman"/>
                <w:color w:val="000000"/>
                <w:sz w:val="20"/>
                <w:szCs w:val="20"/>
                <w:lang w:eastAsia="en-GB"/>
              </w:rPr>
              <w:t>champions</w:t>
            </w:r>
            <w:proofErr w:type="gramEnd"/>
            <w:r w:rsidRPr="00BF2B31">
              <w:rPr>
                <w:rFonts w:eastAsia="Times New Roman"/>
                <w:color w:val="000000"/>
                <w:sz w:val="20"/>
                <w:szCs w:val="20"/>
                <w:lang w:eastAsia="en-GB"/>
              </w:rPr>
              <w:t xml:space="preserve"> issue of concern for local residents, fulfil statutory requirements around health scrutiny.</w:t>
            </w:r>
          </w:p>
        </w:tc>
        <w:tc>
          <w:tcPr>
            <w:tcW w:w="2003" w:type="dxa"/>
            <w:hideMark/>
          </w:tcPr>
          <w:p w:rsidR="003E4ED6" w:rsidRPr="00BF2B31"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r w:rsidRPr="00BF2B31">
              <w:rPr>
                <w:rFonts w:eastAsia="Times New Roman"/>
                <w:color w:val="000000"/>
                <w:sz w:val="20"/>
                <w:szCs w:val="20"/>
                <w:lang w:eastAsia="en-GB"/>
              </w:rPr>
              <w:t>Health Committee</w:t>
            </w:r>
          </w:p>
        </w:tc>
        <w:tc>
          <w:tcPr>
            <w:tcW w:w="4092" w:type="dxa"/>
          </w:tcPr>
          <w:p w:rsidR="003E4ED6" w:rsidRPr="00BF2B31"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3E4ED6" w:rsidRPr="008643EB" w:rsidRDefault="003E4ED6" w:rsidP="00A37980">
            <w:pPr>
              <w:spacing w:after="0" w:line="240" w:lineRule="auto"/>
              <w:rPr>
                <w:rFonts w:eastAsia="Times New Roman"/>
              </w:rPr>
            </w:pPr>
            <w:r>
              <w:rPr>
                <w:rFonts w:eastAsia="Times New Roman"/>
              </w:rPr>
              <w:lastRenderedPageBreak/>
              <w:t>9</w:t>
            </w:r>
          </w:p>
        </w:tc>
        <w:tc>
          <w:tcPr>
            <w:tcW w:w="1843" w:type="dxa"/>
            <w:tcBorders>
              <w:bottom w:val="single" w:sz="8" w:space="0" w:color="9F8AB9" w:themeColor="accent4" w:themeTint="BF"/>
            </w:tcBorders>
          </w:tcPr>
          <w:p w:rsidR="003E4ED6" w:rsidRPr="008643EB" w:rsidRDefault="003E4ED6" w:rsidP="00A3798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sidRPr="008643EB">
              <w:rPr>
                <w:rFonts w:eastAsia="Times New Roman"/>
                <w:b/>
              </w:rPr>
              <w:t xml:space="preserve">CCG primary care commissioning </w:t>
            </w:r>
          </w:p>
          <w:p w:rsidR="003E4ED6" w:rsidRPr="008643EB" w:rsidRDefault="003E4ED6" w:rsidP="00A3798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p>
        </w:tc>
        <w:tc>
          <w:tcPr>
            <w:tcW w:w="3544" w:type="dxa"/>
            <w:tcBorders>
              <w:bottom w:val="single" w:sz="8" w:space="0" w:color="9F8AB9" w:themeColor="accent4" w:themeTint="BF"/>
            </w:tcBorders>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p>
        </w:tc>
        <w:tc>
          <w:tcPr>
            <w:tcW w:w="2268" w:type="dxa"/>
            <w:tcBorders>
              <w:bottom w:val="single" w:sz="8" w:space="0" w:color="9F8AB9" w:themeColor="accent4" w:themeTint="BF"/>
            </w:tcBorders>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p>
        </w:tc>
        <w:tc>
          <w:tcPr>
            <w:tcW w:w="2003" w:type="dxa"/>
            <w:tcBorders>
              <w:bottom w:val="single" w:sz="8" w:space="0" w:color="9F8AB9" w:themeColor="accent4" w:themeTint="BF"/>
            </w:tcBorders>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Health committee</w:t>
            </w:r>
          </w:p>
        </w:tc>
        <w:tc>
          <w:tcPr>
            <w:tcW w:w="4092" w:type="dxa"/>
            <w:tcBorders>
              <w:bottom w:val="single" w:sz="8" w:space="0" w:color="9F8AB9" w:themeColor="accent4" w:themeTint="BF"/>
            </w:tcBorders>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6"/>
            <w:shd w:val="clear" w:color="auto" w:fill="FABF8F" w:themeFill="accent6" w:themeFillTint="99"/>
          </w:tcPr>
          <w:p w:rsidR="003E4ED6" w:rsidRPr="00BF2B31" w:rsidRDefault="003E4ED6" w:rsidP="004A669B">
            <w:pPr>
              <w:jc w:val="center"/>
              <w:rPr>
                <w:sz w:val="20"/>
                <w:szCs w:val="20"/>
              </w:rPr>
            </w:pPr>
            <w:r w:rsidRPr="00BF2B31">
              <w:rPr>
                <w:sz w:val="20"/>
                <w:szCs w:val="20"/>
              </w:rPr>
              <w:t>O&amp;S Committee</w:t>
            </w: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DE5AE1">
            <w:pPr>
              <w:rPr>
                <w:rFonts w:asciiTheme="minorHAnsi" w:hAnsiTheme="minorHAnsi" w:cs="Tahoma"/>
                <w:lang w:val="en-US"/>
              </w:rPr>
            </w:pPr>
            <w:r>
              <w:rPr>
                <w:rFonts w:asciiTheme="minorHAnsi" w:hAnsiTheme="minorHAnsi" w:cs="Tahoma"/>
                <w:lang w:val="en-US"/>
              </w:rPr>
              <w:t>10</w:t>
            </w:r>
          </w:p>
        </w:tc>
        <w:tc>
          <w:tcPr>
            <w:tcW w:w="1843" w:type="dxa"/>
          </w:tcPr>
          <w:p w:rsidR="003E4ED6" w:rsidRPr="008643EB" w:rsidRDefault="0088163E" w:rsidP="0088163E">
            <w:pPr>
              <w:cnfStyle w:val="000000000000" w:firstRow="0" w:lastRow="0" w:firstColumn="0" w:lastColumn="0" w:oddVBand="0" w:evenVBand="0" w:oddHBand="0" w:evenHBand="0" w:firstRowFirstColumn="0" w:firstRowLastColumn="0" w:lastRowFirstColumn="0" w:lastRowLastColumn="0"/>
              <w:rPr>
                <w:rFonts w:asciiTheme="minorHAnsi" w:hAnsiTheme="minorHAnsi" w:cs="Tahoma"/>
                <w:b/>
                <w:lang w:val="en-US"/>
              </w:rPr>
            </w:pPr>
            <w:proofErr w:type="spellStart"/>
            <w:r>
              <w:rPr>
                <w:rFonts w:asciiTheme="minorHAnsi" w:hAnsiTheme="minorHAnsi" w:cs="Tahoma"/>
                <w:b/>
                <w:lang w:val="en-US"/>
              </w:rPr>
              <w:t>Digitalisation</w:t>
            </w:r>
            <w:proofErr w:type="spellEnd"/>
            <w:r>
              <w:rPr>
                <w:rFonts w:asciiTheme="minorHAnsi" w:hAnsiTheme="minorHAnsi" w:cs="Tahoma"/>
                <w:b/>
                <w:lang w:val="en-US"/>
              </w:rPr>
              <w:t xml:space="preserve"> and a</w:t>
            </w:r>
            <w:r w:rsidR="003E4ED6">
              <w:rPr>
                <w:rFonts w:asciiTheme="minorHAnsi" w:hAnsiTheme="minorHAnsi" w:cs="Tahoma"/>
                <w:b/>
                <w:lang w:val="en-US"/>
              </w:rPr>
              <w:t>ccess to service</w:t>
            </w:r>
            <w:r w:rsidR="00097CE3">
              <w:rPr>
                <w:rFonts w:asciiTheme="minorHAnsi" w:hAnsiTheme="minorHAnsi" w:cs="Tahoma"/>
                <w:b/>
                <w:lang w:val="en-US"/>
              </w:rPr>
              <w:t>s</w:t>
            </w:r>
            <w:r w:rsidR="003E4ED6">
              <w:rPr>
                <w:rFonts w:asciiTheme="minorHAnsi" w:hAnsiTheme="minorHAnsi" w:cs="Tahoma"/>
                <w:b/>
                <w:lang w:val="en-US"/>
              </w:rPr>
              <w:t xml:space="preserve"> online</w:t>
            </w:r>
          </w:p>
        </w:tc>
        <w:tc>
          <w:tcPr>
            <w:tcW w:w="3544"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 xml:space="preserve">Feedback from residents as well </w:t>
            </w:r>
            <w:r w:rsidR="006C66D8">
              <w:rPr>
                <w:sz w:val="20"/>
                <w:szCs w:val="20"/>
              </w:rPr>
              <w:t xml:space="preserve">as </w:t>
            </w:r>
            <w:r w:rsidRPr="00BF2B31">
              <w:rPr>
                <w:sz w:val="20"/>
                <w:szCs w:val="20"/>
              </w:rPr>
              <w:t>VCS organisations has highlighted the difficulty in accessing various services and the need to have services which are accessible.</w:t>
            </w:r>
          </w:p>
        </w:tc>
        <w:tc>
          <w:tcPr>
            <w:tcW w:w="2268"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Help secure service improvements</w:t>
            </w:r>
          </w:p>
        </w:tc>
        <w:tc>
          <w:tcPr>
            <w:tcW w:w="2003"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O&amp;S committee</w:t>
            </w:r>
          </w:p>
        </w:tc>
        <w:tc>
          <w:tcPr>
            <w:tcW w:w="4092"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DE5AE1">
            <w:pPr>
              <w:rPr>
                <w:rFonts w:asciiTheme="minorHAnsi" w:hAnsiTheme="minorHAnsi" w:cs="Tahoma"/>
                <w:lang w:val="en-US"/>
              </w:rPr>
            </w:pPr>
            <w:r>
              <w:rPr>
                <w:rFonts w:asciiTheme="minorHAnsi" w:hAnsiTheme="minorHAnsi" w:cs="Tahoma"/>
                <w:lang w:val="en-US"/>
              </w:rPr>
              <w:t>11</w:t>
            </w:r>
          </w:p>
        </w:tc>
        <w:tc>
          <w:tcPr>
            <w:tcW w:w="1843" w:type="dxa"/>
          </w:tcPr>
          <w:p w:rsidR="003E4ED6" w:rsidRPr="008643EB" w:rsidRDefault="003E4ED6" w:rsidP="00DE5AE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8643EB">
              <w:rPr>
                <w:rFonts w:asciiTheme="minorHAnsi" w:hAnsiTheme="minorHAnsi" w:cs="Tahoma"/>
                <w:b/>
                <w:lang w:val="en-US"/>
              </w:rPr>
              <w:t>People Services Directorate: progress update &amp; LAT Review</w:t>
            </w:r>
          </w:p>
        </w:tc>
        <w:tc>
          <w:tcPr>
            <w:tcW w:w="3544"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In terms of timing this needs to follow discussion at both HSCB &amp; LSAB, making late Sept/October 2016 the earliest possibility.</w:t>
            </w:r>
          </w:p>
        </w:tc>
        <w:tc>
          <w:tcPr>
            <w:tcW w:w="2268"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Fulfils a statutory requirement - This is in compliance with the June 2015 Local Assurance Test key recommendations.</w:t>
            </w:r>
          </w:p>
        </w:tc>
        <w:tc>
          <w:tcPr>
            <w:tcW w:w="2003" w:type="dxa"/>
          </w:tcPr>
          <w:p w:rsidR="003E4ED6" w:rsidRPr="00BF2B31" w:rsidRDefault="003E4ED6" w:rsidP="00DE5AE1">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O&amp;S Committee</w:t>
            </w:r>
          </w:p>
        </w:tc>
        <w:tc>
          <w:tcPr>
            <w:tcW w:w="4092" w:type="dxa"/>
          </w:tcPr>
          <w:p w:rsidR="003E4ED6" w:rsidRPr="00BF2B31" w:rsidRDefault="0088163E" w:rsidP="00DE5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Late </w:t>
            </w:r>
            <w:proofErr w:type="spellStart"/>
            <w:r>
              <w:rPr>
                <w:sz w:val="20"/>
                <w:szCs w:val="20"/>
              </w:rPr>
              <w:t>sept</w:t>
            </w:r>
            <w:proofErr w:type="spellEnd"/>
            <w:r>
              <w:rPr>
                <w:sz w:val="20"/>
                <w:szCs w:val="20"/>
              </w:rPr>
              <w:t>/early Oct</w:t>
            </w: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853186">
            <w:pPr>
              <w:spacing w:after="0" w:line="240" w:lineRule="auto"/>
            </w:pPr>
            <w:r>
              <w:t>12</w:t>
            </w:r>
          </w:p>
        </w:tc>
        <w:tc>
          <w:tcPr>
            <w:tcW w:w="1843" w:type="dxa"/>
          </w:tcPr>
          <w:p w:rsidR="003E4ED6" w:rsidRPr="008643EB" w:rsidRDefault="003E4ED6" w:rsidP="00DE5AE1">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8643EB">
              <w:rPr>
                <w:b/>
              </w:rPr>
              <w:t>VCS strategy</w:t>
            </w:r>
            <w:r>
              <w:rPr>
                <w:b/>
              </w:rPr>
              <w:t xml:space="preserve"> (</w:t>
            </w:r>
            <w:proofErr w:type="spellStart"/>
            <w:r>
              <w:rPr>
                <w:b/>
              </w:rPr>
              <w:t>Inc</w:t>
            </w:r>
            <w:proofErr w:type="spellEnd"/>
            <w:r>
              <w:rPr>
                <w:b/>
              </w:rPr>
              <w:t xml:space="preserve"> Info &amp; Advice Strategy)</w:t>
            </w:r>
          </w:p>
        </w:tc>
        <w:tc>
          <w:tcPr>
            <w:tcW w:w="3544"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In 2016 work will take place to develop a strategy for working with the voluntary sector in Harrow</w:t>
            </w:r>
            <w:r w:rsidR="006C66D8">
              <w:rPr>
                <w:rFonts w:asciiTheme="minorHAnsi" w:eastAsia="Times New Roman" w:hAnsiTheme="minorHAnsi" w:cs="Times New Roman"/>
                <w:sz w:val="20"/>
                <w:szCs w:val="20"/>
              </w:rPr>
              <w:t xml:space="preserve"> including a new information &amp; Advice strategy for the Council.</w:t>
            </w:r>
          </w:p>
        </w:tc>
        <w:tc>
          <w:tcPr>
            <w:tcW w:w="2268"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Supports the Council &amp; Executive in the development of strategy/policy before the decisions are made</w:t>
            </w:r>
          </w:p>
        </w:tc>
        <w:tc>
          <w:tcPr>
            <w:tcW w:w="2003" w:type="dxa"/>
          </w:tcPr>
          <w:p w:rsidR="003E4ED6" w:rsidRPr="00BF2B31" w:rsidRDefault="003E4ED6" w:rsidP="00DE5AE1">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O&amp;S committee</w:t>
            </w:r>
          </w:p>
        </w:tc>
        <w:tc>
          <w:tcPr>
            <w:tcW w:w="4092" w:type="dxa"/>
          </w:tcPr>
          <w:p w:rsidR="003E4ED6" w:rsidRPr="00BF2B31" w:rsidRDefault="0088163E" w:rsidP="00DE5A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Sept O&amp;S</w:t>
            </w: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4A669B">
            <w:pPr>
              <w:spacing w:after="0" w:line="240" w:lineRule="auto"/>
            </w:pPr>
            <w:r w:rsidRPr="008643EB">
              <w:t>1</w:t>
            </w:r>
            <w:r>
              <w:t>3</w:t>
            </w:r>
          </w:p>
        </w:tc>
        <w:tc>
          <w:tcPr>
            <w:tcW w:w="1843" w:type="dxa"/>
          </w:tcPr>
          <w:p w:rsidR="003E4ED6" w:rsidRPr="008643EB"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8643EB">
              <w:rPr>
                <w:b/>
              </w:rPr>
              <w:t xml:space="preserve">Landlord Licencing </w:t>
            </w:r>
          </w:p>
        </w:tc>
        <w:tc>
          <w:tcPr>
            <w:tcW w:w="3544" w:type="dxa"/>
          </w:tcPr>
          <w:p w:rsidR="003E4ED6" w:rsidRPr="00BF2B31"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The understanding is that this has now been running in Edgware prior to being run out across the borough, so a review of its effects/impact may be timely.</w:t>
            </w:r>
          </w:p>
          <w:p w:rsidR="003E4ED6" w:rsidRPr="00BF2B31"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p>
        </w:tc>
        <w:tc>
          <w:tcPr>
            <w:tcW w:w="2268" w:type="dxa"/>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 xml:space="preserve">Supports the Council &amp; Executive in the development of strategy/policy before the decisions are made. Helps secure service improvements </w:t>
            </w:r>
          </w:p>
        </w:tc>
        <w:tc>
          <w:tcPr>
            <w:tcW w:w="2003" w:type="dxa"/>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O&amp;S committee</w:t>
            </w:r>
          </w:p>
        </w:tc>
        <w:tc>
          <w:tcPr>
            <w:tcW w:w="4092" w:type="dxa"/>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A37980">
            <w:pPr>
              <w:spacing w:after="0" w:line="240" w:lineRule="auto"/>
            </w:pPr>
            <w:r>
              <w:t>14</w:t>
            </w:r>
          </w:p>
        </w:tc>
        <w:tc>
          <w:tcPr>
            <w:tcW w:w="1843" w:type="dxa"/>
          </w:tcPr>
          <w:p w:rsidR="003E4ED6" w:rsidRPr="008643EB" w:rsidRDefault="003E4ED6" w:rsidP="00A37980">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8643EB">
              <w:rPr>
                <w:b/>
              </w:rPr>
              <w:t xml:space="preserve">Recycling </w:t>
            </w:r>
            <w:r>
              <w:rPr>
                <w:b/>
              </w:rPr>
              <w:t xml:space="preserve">, </w:t>
            </w:r>
            <w:proofErr w:type="spellStart"/>
            <w:r>
              <w:rPr>
                <w:b/>
              </w:rPr>
              <w:lastRenderedPageBreak/>
              <w:t>flytipping</w:t>
            </w:r>
            <w:proofErr w:type="spellEnd"/>
            <w:r>
              <w:rPr>
                <w:b/>
              </w:rPr>
              <w:t>, street cleanliness</w:t>
            </w:r>
          </w:p>
        </w:tc>
        <w:tc>
          <w:tcPr>
            <w:tcW w:w="3544"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bCs/>
                <w:sz w:val="20"/>
                <w:szCs w:val="20"/>
              </w:rPr>
              <w:lastRenderedPageBreak/>
              <w:t xml:space="preserve">Review effectiveness in general what </w:t>
            </w:r>
            <w:r w:rsidRPr="00BF2B31">
              <w:rPr>
                <w:bCs/>
                <w:sz w:val="20"/>
                <w:szCs w:val="20"/>
              </w:rPr>
              <w:lastRenderedPageBreak/>
              <w:t>has been the effect of the introduction of food caddies</w:t>
            </w:r>
          </w:p>
        </w:tc>
        <w:tc>
          <w:tcPr>
            <w:tcW w:w="2268"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lastRenderedPageBreak/>
              <w:t xml:space="preserve">Helps secure service </w:t>
            </w:r>
            <w:r w:rsidRPr="00BF2B31">
              <w:rPr>
                <w:sz w:val="20"/>
                <w:szCs w:val="20"/>
              </w:rPr>
              <w:lastRenderedPageBreak/>
              <w:t>improvements</w:t>
            </w:r>
          </w:p>
        </w:tc>
        <w:tc>
          <w:tcPr>
            <w:tcW w:w="2003"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lastRenderedPageBreak/>
              <w:t xml:space="preserve">O&amp;S committee 6 </w:t>
            </w:r>
            <w:r w:rsidRPr="00BF2B31">
              <w:rPr>
                <w:sz w:val="20"/>
                <w:szCs w:val="20"/>
              </w:rPr>
              <w:lastRenderedPageBreak/>
              <w:t>months after implementation in April</w:t>
            </w:r>
          </w:p>
        </w:tc>
        <w:tc>
          <w:tcPr>
            <w:tcW w:w="4092" w:type="dxa"/>
          </w:tcPr>
          <w:p w:rsidR="003E4ED6" w:rsidRPr="00BF2B31" w:rsidRDefault="0088163E" w:rsidP="00A379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It would be useful if a report can to committee </w:t>
            </w:r>
            <w:r>
              <w:rPr>
                <w:sz w:val="20"/>
                <w:szCs w:val="20"/>
              </w:rPr>
              <w:lastRenderedPageBreak/>
              <w:t>when the latest NI195 data is available so scrutiny are looking at the most current data</w:t>
            </w: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A37980">
            <w:pPr>
              <w:spacing w:after="0" w:line="240" w:lineRule="auto"/>
              <w:rPr>
                <w:rFonts w:eastAsia="Times New Roman"/>
              </w:rPr>
            </w:pPr>
            <w:r>
              <w:rPr>
                <w:rFonts w:eastAsia="Times New Roman"/>
              </w:rPr>
              <w:lastRenderedPageBreak/>
              <w:t>15</w:t>
            </w:r>
          </w:p>
        </w:tc>
        <w:tc>
          <w:tcPr>
            <w:tcW w:w="1843" w:type="dxa"/>
          </w:tcPr>
          <w:p w:rsidR="003E4ED6" w:rsidRPr="008643EB"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sidRPr="008643EB">
              <w:rPr>
                <w:rFonts w:eastAsia="Times New Roman"/>
                <w:b/>
              </w:rPr>
              <w:t>Troubled Families phase 2</w:t>
            </w:r>
          </w:p>
          <w:p w:rsidR="003E4ED6" w:rsidRPr="008643EB"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b/>
                <w:bCs/>
              </w:rPr>
            </w:pPr>
          </w:p>
        </w:tc>
        <w:tc>
          <w:tcPr>
            <w:tcW w:w="3544" w:type="dxa"/>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A key programme for the Council that will define our early intervention offer and help turn the lives of families around</w:t>
            </w:r>
          </w:p>
        </w:tc>
        <w:tc>
          <w:tcPr>
            <w:tcW w:w="2268" w:type="dxa"/>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 xml:space="preserve">Helps secure service improvements </w:t>
            </w:r>
          </w:p>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p>
        </w:tc>
        <w:tc>
          <w:tcPr>
            <w:tcW w:w="2003" w:type="dxa"/>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O&amp;S committee review of phase 1 and plans for phase 2</w:t>
            </w:r>
          </w:p>
        </w:tc>
        <w:tc>
          <w:tcPr>
            <w:tcW w:w="4092" w:type="dxa"/>
          </w:tcPr>
          <w:p w:rsidR="003E4ED6" w:rsidRPr="00BF2B31" w:rsidRDefault="0088163E" w:rsidP="00A379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Autumn</w:t>
            </w:r>
            <w:r w:rsidR="006C66D8">
              <w:rPr>
                <w:sz w:val="20"/>
                <w:szCs w:val="20"/>
              </w:rPr>
              <w:t>?</w:t>
            </w:r>
            <w:bookmarkStart w:id="0" w:name="_GoBack"/>
            <w:bookmarkEnd w:id="0"/>
          </w:p>
        </w:tc>
      </w:tr>
      <w:tr w:rsidR="003E4ED6" w:rsidTr="00BF2B31">
        <w:tc>
          <w:tcPr>
            <w:cnfStyle w:val="001000000000" w:firstRow="0" w:lastRow="0" w:firstColumn="1" w:lastColumn="0" w:oddVBand="0" w:evenVBand="0" w:oddHBand="0" w:evenHBand="0" w:firstRowFirstColumn="0" w:firstRowLastColumn="0" w:lastRowFirstColumn="0" w:lastRowLastColumn="0"/>
            <w:tcW w:w="675" w:type="dxa"/>
          </w:tcPr>
          <w:p w:rsidR="003E4ED6" w:rsidRPr="008643EB" w:rsidRDefault="003E4ED6" w:rsidP="00A37980">
            <w:pPr>
              <w:spacing w:after="0" w:line="240" w:lineRule="auto"/>
              <w:rPr>
                <w:rFonts w:eastAsia="Times New Roman"/>
              </w:rPr>
            </w:pPr>
            <w:r>
              <w:rPr>
                <w:rFonts w:eastAsia="Times New Roman"/>
              </w:rPr>
              <w:t>16</w:t>
            </w:r>
          </w:p>
        </w:tc>
        <w:tc>
          <w:tcPr>
            <w:tcW w:w="1843" w:type="dxa"/>
          </w:tcPr>
          <w:p w:rsidR="003E4ED6" w:rsidRPr="008643EB" w:rsidRDefault="003E4ED6" w:rsidP="00A3798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Prevent</w:t>
            </w:r>
          </w:p>
          <w:p w:rsidR="003E4ED6" w:rsidRPr="008643EB" w:rsidRDefault="003E4ED6" w:rsidP="00A37980">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3544"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 xml:space="preserve">High profile issue, what is the </w:t>
            </w:r>
            <w:r w:rsidRPr="00BF2B31">
              <w:rPr>
                <w:rFonts w:eastAsia="Times New Roman"/>
                <w:sz w:val="20"/>
                <w:szCs w:val="20"/>
              </w:rPr>
              <w:t xml:space="preserve">council’s reaction to Syrian crisis e.g. access to services, PREVENT, community cohesion, helping to integrate </w:t>
            </w:r>
          </w:p>
        </w:tc>
        <w:tc>
          <w:tcPr>
            <w:tcW w:w="2268"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Issue of concern to local people and helps hold the executive to account</w:t>
            </w:r>
          </w:p>
        </w:tc>
        <w:tc>
          <w:tcPr>
            <w:tcW w:w="2003"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O&amp;S committee</w:t>
            </w:r>
          </w:p>
        </w:tc>
        <w:tc>
          <w:tcPr>
            <w:tcW w:w="4092" w:type="dxa"/>
          </w:tcPr>
          <w:p w:rsidR="003E4ED6" w:rsidRPr="00BF2B31" w:rsidRDefault="003E4ED6"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3E4ED6"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3E4ED6" w:rsidRDefault="003E4ED6" w:rsidP="00A37980">
            <w:pPr>
              <w:spacing w:after="0" w:line="240" w:lineRule="auto"/>
              <w:rPr>
                <w:rFonts w:eastAsia="Times New Roman"/>
              </w:rPr>
            </w:pPr>
            <w:r>
              <w:rPr>
                <w:rFonts w:eastAsia="Times New Roman"/>
              </w:rPr>
              <w:t>17</w:t>
            </w:r>
          </w:p>
        </w:tc>
        <w:tc>
          <w:tcPr>
            <w:tcW w:w="1843" w:type="dxa"/>
            <w:tcBorders>
              <w:bottom w:val="single" w:sz="8" w:space="0" w:color="9F8AB9" w:themeColor="accent4" w:themeTint="BF"/>
            </w:tcBorders>
          </w:tcPr>
          <w:p w:rsidR="003E4ED6" w:rsidRDefault="003E4ED6"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Child Sexual Exploitation &amp; FGM</w:t>
            </w:r>
          </w:p>
        </w:tc>
        <w:tc>
          <w:tcPr>
            <w:tcW w:w="3544" w:type="dxa"/>
            <w:tcBorders>
              <w:bottom w:val="single" w:sz="8" w:space="0" w:color="9F8AB9" w:themeColor="accent4" w:themeTint="BF"/>
            </w:tcBorders>
          </w:tcPr>
          <w:p w:rsidR="003E4ED6" w:rsidRPr="00BF2B31" w:rsidRDefault="003E4ED6" w:rsidP="005C4F9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High profile issues which are under-reported in Harrow. How are our efforts to increase awareness and reporting going</w:t>
            </w:r>
          </w:p>
        </w:tc>
        <w:tc>
          <w:tcPr>
            <w:tcW w:w="2268" w:type="dxa"/>
            <w:tcBorders>
              <w:bottom w:val="single" w:sz="8" w:space="0" w:color="9F8AB9" w:themeColor="accent4" w:themeTint="BF"/>
            </w:tcBorders>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Help secure service improvements</w:t>
            </w:r>
          </w:p>
        </w:tc>
        <w:tc>
          <w:tcPr>
            <w:tcW w:w="2003" w:type="dxa"/>
            <w:tcBorders>
              <w:bottom w:val="single" w:sz="8" w:space="0" w:color="9F8AB9" w:themeColor="accent4" w:themeTint="BF"/>
            </w:tcBorders>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O&amp;S committee</w:t>
            </w:r>
          </w:p>
        </w:tc>
        <w:tc>
          <w:tcPr>
            <w:tcW w:w="4092" w:type="dxa"/>
            <w:tcBorders>
              <w:bottom w:val="single" w:sz="8" w:space="0" w:color="9F8AB9" w:themeColor="accent4" w:themeTint="BF"/>
            </w:tcBorders>
          </w:tcPr>
          <w:p w:rsidR="003E4ED6" w:rsidRPr="00BF2B31" w:rsidRDefault="003E4ED6" w:rsidP="00A37980">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6A2F53" w:rsidRDefault="006A2F53" w:rsidP="00E60B09">
            <w:pPr>
              <w:spacing w:after="0" w:line="240" w:lineRule="auto"/>
              <w:rPr>
                <w:rFonts w:eastAsia="Times New Roman"/>
              </w:rPr>
            </w:pPr>
            <w:r>
              <w:rPr>
                <w:rFonts w:eastAsia="Times New Roman"/>
              </w:rPr>
              <w:t>18</w:t>
            </w:r>
          </w:p>
        </w:tc>
        <w:tc>
          <w:tcPr>
            <w:tcW w:w="1843" w:type="dxa"/>
            <w:tcBorders>
              <w:bottom w:val="single" w:sz="8" w:space="0" w:color="9F8AB9" w:themeColor="accent4" w:themeTint="BF"/>
            </w:tcBorders>
          </w:tcPr>
          <w:p w:rsidR="006A2F53" w:rsidRDefault="006A2F53" w:rsidP="00E60B0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Disability services</w:t>
            </w:r>
          </w:p>
        </w:tc>
        <w:tc>
          <w:tcPr>
            <w:tcW w:w="3544" w:type="dxa"/>
            <w:tcBorders>
              <w:bottom w:val="single" w:sz="8" w:space="0" w:color="9F8AB9" w:themeColor="accent4" w:themeTint="BF"/>
            </w:tcBorders>
          </w:tcPr>
          <w:p w:rsidR="006A2F53" w:rsidRPr="00BF2B31" w:rsidRDefault="006A2F53" w:rsidP="00E60B09">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Pr>
                <w:rFonts w:asciiTheme="minorHAnsi" w:hAnsiTheme="minorHAnsi" w:cs="Times New Roman"/>
                <w:sz w:val="20"/>
                <w:szCs w:val="20"/>
              </w:rPr>
              <w:t xml:space="preserve">The creation of the People’s directorate has enabled the creation of a single disability service for both adults and children. What benefits has this join up had and what impact are the savings (including a review of the decision around The Bridge) having on outcomes? </w:t>
            </w:r>
          </w:p>
        </w:tc>
        <w:tc>
          <w:tcPr>
            <w:tcW w:w="2268" w:type="dxa"/>
            <w:tcBorders>
              <w:bottom w:val="single" w:sz="8" w:space="0" w:color="9F8AB9" w:themeColor="accent4" w:themeTint="BF"/>
            </w:tcBorders>
          </w:tcPr>
          <w:p w:rsidR="006A2F53" w:rsidRPr="00BF2B31" w:rsidRDefault="006A2F53" w:rsidP="00E60B09">
            <w:pPr>
              <w:cnfStyle w:val="000000000000" w:firstRow="0" w:lastRow="0" w:firstColumn="0" w:lastColumn="0" w:oddVBand="0" w:evenVBand="0" w:oddHBand="0" w:evenHBand="0" w:firstRowFirstColumn="0" w:firstRowLastColumn="0" w:lastRowFirstColumn="0" w:lastRowLastColumn="0"/>
              <w:rPr>
                <w:sz w:val="20"/>
                <w:szCs w:val="20"/>
              </w:rPr>
            </w:pPr>
            <w:r w:rsidRPr="00196887">
              <w:rPr>
                <w:sz w:val="20"/>
                <w:szCs w:val="20"/>
              </w:rPr>
              <w:t>Helps secure service improvements for residents, champions issue of concern for local residents,</w:t>
            </w:r>
          </w:p>
        </w:tc>
        <w:tc>
          <w:tcPr>
            <w:tcW w:w="2003" w:type="dxa"/>
            <w:tcBorders>
              <w:bottom w:val="single" w:sz="8" w:space="0" w:color="9F8AB9" w:themeColor="accent4" w:themeTint="BF"/>
            </w:tcBorders>
          </w:tcPr>
          <w:p w:rsidR="006A2F53" w:rsidRPr="00BF2B31" w:rsidRDefault="006A2F53" w:rsidP="00E60B0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O&amp;S Committee</w:t>
            </w:r>
          </w:p>
        </w:tc>
        <w:tc>
          <w:tcPr>
            <w:tcW w:w="4092" w:type="dxa"/>
            <w:tcBorders>
              <w:bottom w:val="single" w:sz="8" w:space="0" w:color="9F8AB9" w:themeColor="accent4" w:themeTint="BF"/>
            </w:tcBorders>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6"/>
            <w:shd w:val="clear" w:color="auto" w:fill="FABF8F" w:themeFill="accent6" w:themeFillTint="99"/>
          </w:tcPr>
          <w:p w:rsidR="006A2F53" w:rsidRPr="00BF2B31" w:rsidRDefault="006A2F53" w:rsidP="00A37980">
            <w:pPr>
              <w:jc w:val="center"/>
              <w:rPr>
                <w:sz w:val="20"/>
                <w:szCs w:val="20"/>
              </w:rPr>
            </w:pPr>
            <w:r w:rsidRPr="00BF2B31">
              <w:rPr>
                <w:sz w:val="20"/>
                <w:szCs w:val="20"/>
              </w:rPr>
              <w:t>P&amp;F</w:t>
            </w: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A37980">
            <w:pPr>
              <w:spacing w:after="0" w:line="240" w:lineRule="auto"/>
            </w:pPr>
            <w:r>
              <w:t>19</w:t>
            </w:r>
          </w:p>
        </w:tc>
        <w:tc>
          <w:tcPr>
            <w:tcW w:w="1843" w:type="dxa"/>
          </w:tcPr>
          <w:p w:rsidR="006A2F53" w:rsidRPr="008643EB" w:rsidRDefault="006A2F53" w:rsidP="00A37980">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8643EB">
              <w:rPr>
                <w:b/>
              </w:rPr>
              <w:t>Commercial strategy</w:t>
            </w:r>
          </w:p>
        </w:tc>
        <w:tc>
          <w:tcPr>
            <w:tcW w:w="3544"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The commercial strategy is set to raise £15m of income for the Council by 2019 through a variety of means. Scrutiny could look at the programme holistically or pick individual projects such as the private lettings agency or MOT bay</w:t>
            </w:r>
          </w:p>
        </w:tc>
        <w:tc>
          <w:tcPr>
            <w:tcW w:w="2268"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Helps secure service improvements</w:t>
            </w:r>
          </w:p>
        </w:tc>
        <w:tc>
          <w:tcPr>
            <w:tcW w:w="2003" w:type="dxa"/>
          </w:tcPr>
          <w:p w:rsidR="006A2F53" w:rsidRPr="00BF2B31" w:rsidRDefault="006A2F53" w:rsidP="00A37980">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P&amp;F 6 monthly</w:t>
            </w:r>
          </w:p>
        </w:tc>
        <w:tc>
          <w:tcPr>
            <w:tcW w:w="4092" w:type="dxa"/>
          </w:tcPr>
          <w:p w:rsidR="006A2F53" w:rsidRPr="00BF2B31" w:rsidRDefault="006A2F53" w:rsidP="00A37980">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4A669B">
            <w:pPr>
              <w:spacing w:after="0" w:line="240" w:lineRule="auto"/>
              <w:rPr>
                <w:rFonts w:eastAsia="Times New Roman"/>
              </w:rPr>
            </w:pPr>
            <w:r>
              <w:rPr>
                <w:rFonts w:eastAsia="Times New Roman"/>
              </w:rPr>
              <w:t>20</w:t>
            </w:r>
          </w:p>
        </w:tc>
        <w:tc>
          <w:tcPr>
            <w:tcW w:w="1843" w:type="dxa"/>
          </w:tcPr>
          <w:p w:rsidR="006A2F53" w:rsidRDefault="006A2F53" w:rsidP="00A3798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sidRPr="009B38C4">
              <w:rPr>
                <w:rFonts w:eastAsia="Times New Roman"/>
                <w:b/>
              </w:rPr>
              <w:t>Sickness rates amongst staff days lost per FE post.</w:t>
            </w:r>
          </w:p>
        </w:tc>
        <w:tc>
          <w:tcPr>
            <w:tcW w:w="3544"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proofErr w:type="gramStart"/>
            <w:r w:rsidRPr="00BF2B31">
              <w:rPr>
                <w:rFonts w:asciiTheme="minorHAnsi" w:hAnsiTheme="minorHAnsi" w:cs="Times New Roman"/>
                <w:sz w:val="20"/>
                <w:szCs w:val="20"/>
              </w:rPr>
              <w:t>The  figure</w:t>
            </w:r>
            <w:proofErr w:type="gramEnd"/>
            <w:r w:rsidRPr="00BF2B31">
              <w:rPr>
                <w:rFonts w:asciiTheme="minorHAnsi" w:hAnsiTheme="minorHAnsi" w:cs="Times New Roman"/>
                <w:sz w:val="20"/>
                <w:szCs w:val="20"/>
              </w:rPr>
              <w:t xml:space="preserve"> for this performance area is continually well above target. Efficiency of services is affected when </w:t>
            </w:r>
            <w:proofErr w:type="gramStart"/>
            <w:r w:rsidRPr="00BF2B31">
              <w:rPr>
                <w:rFonts w:asciiTheme="minorHAnsi" w:hAnsiTheme="minorHAnsi" w:cs="Times New Roman"/>
                <w:sz w:val="20"/>
                <w:szCs w:val="20"/>
              </w:rPr>
              <w:t>staff are</w:t>
            </w:r>
            <w:proofErr w:type="gramEnd"/>
            <w:r w:rsidRPr="00BF2B31">
              <w:rPr>
                <w:rFonts w:asciiTheme="minorHAnsi" w:hAnsiTheme="minorHAnsi" w:cs="Times New Roman"/>
                <w:sz w:val="20"/>
                <w:szCs w:val="20"/>
              </w:rPr>
              <w:t xml:space="preserve"> absent and may lead to higher service complaints. It is estimated that sickness costs the Council </w:t>
            </w:r>
            <w:proofErr w:type="spellStart"/>
            <w:r w:rsidRPr="00BF2B31">
              <w:rPr>
                <w:rFonts w:asciiTheme="minorHAnsi" w:hAnsiTheme="minorHAnsi" w:cs="Times New Roman"/>
                <w:sz w:val="20"/>
                <w:szCs w:val="20"/>
              </w:rPr>
              <w:t>approx</w:t>
            </w:r>
            <w:proofErr w:type="spellEnd"/>
            <w:r w:rsidRPr="00BF2B31">
              <w:rPr>
                <w:rFonts w:asciiTheme="minorHAnsi" w:hAnsiTheme="minorHAnsi" w:cs="Times New Roman"/>
                <w:sz w:val="20"/>
                <w:szCs w:val="20"/>
              </w:rPr>
              <w:t xml:space="preserve"> £400,000 a year. With revenue falling and the possible effects on services ways of improving this figure should be investigated.</w:t>
            </w:r>
          </w:p>
        </w:tc>
        <w:tc>
          <w:tcPr>
            <w:tcW w:w="2268"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Help secure service improvement</w:t>
            </w:r>
          </w:p>
        </w:tc>
        <w:tc>
          <w:tcPr>
            <w:tcW w:w="2003"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P&amp;F update report on worst performers</w:t>
            </w:r>
          </w:p>
        </w:tc>
        <w:tc>
          <w:tcPr>
            <w:tcW w:w="4092"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6A2F53" w:rsidRPr="008643EB" w:rsidRDefault="006A2F53" w:rsidP="004A669B">
            <w:pPr>
              <w:spacing w:after="0" w:line="240" w:lineRule="auto"/>
              <w:rPr>
                <w:rFonts w:eastAsia="Times New Roman"/>
              </w:rPr>
            </w:pPr>
            <w:r>
              <w:rPr>
                <w:rFonts w:eastAsia="Times New Roman"/>
              </w:rPr>
              <w:t>21</w:t>
            </w:r>
          </w:p>
        </w:tc>
        <w:tc>
          <w:tcPr>
            <w:tcW w:w="1843" w:type="dxa"/>
            <w:tcBorders>
              <w:bottom w:val="single" w:sz="8" w:space="0" w:color="9F8AB9" w:themeColor="accent4" w:themeTint="BF"/>
            </w:tcBorders>
          </w:tcPr>
          <w:p w:rsidR="006A2F53" w:rsidRPr="008643EB" w:rsidRDefault="006A2F53" w:rsidP="00A3798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Equalities Annual Report</w:t>
            </w:r>
          </w:p>
          <w:p w:rsidR="006A2F53" w:rsidRPr="008643EB" w:rsidRDefault="006A2F53" w:rsidP="00A37980">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3544" w:type="dxa"/>
            <w:tcBorders>
              <w:bottom w:val="single" w:sz="8" w:space="0" w:color="9F8AB9" w:themeColor="accent4" w:themeTint="BF"/>
            </w:tcBorders>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The priority for equalities in 2016/17 is to improve the Council’s standing in the Stonewall list of LGBT friendly organisations. We are currently 399</w:t>
            </w:r>
          </w:p>
        </w:tc>
        <w:tc>
          <w:tcPr>
            <w:tcW w:w="2268" w:type="dxa"/>
            <w:tcBorders>
              <w:bottom w:val="single" w:sz="8" w:space="0" w:color="9F8AB9" w:themeColor="accent4" w:themeTint="BF"/>
            </w:tcBorders>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To help deliver our equality objectives to be a good employer and ensure our workforce is reflective of our community</w:t>
            </w:r>
          </w:p>
        </w:tc>
        <w:tc>
          <w:tcPr>
            <w:tcW w:w="2003" w:type="dxa"/>
            <w:tcBorders>
              <w:bottom w:val="single" w:sz="8" w:space="0" w:color="9F8AB9" w:themeColor="accent4" w:themeTint="BF"/>
            </w:tcBorders>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Monitor through performance reporting and annual equalities report to P&amp;F</w:t>
            </w:r>
          </w:p>
        </w:tc>
        <w:tc>
          <w:tcPr>
            <w:tcW w:w="4092" w:type="dxa"/>
            <w:tcBorders>
              <w:bottom w:val="single" w:sz="8" w:space="0" w:color="9F8AB9" w:themeColor="accent4" w:themeTint="BF"/>
            </w:tcBorders>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6A2F53" w:rsidRDefault="006A2F53" w:rsidP="00525AA7">
            <w:pPr>
              <w:spacing w:after="0" w:line="240" w:lineRule="auto"/>
              <w:rPr>
                <w:rFonts w:eastAsia="Times New Roman"/>
              </w:rPr>
            </w:pPr>
            <w:r>
              <w:rPr>
                <w:rFonts w:eastAsia="Times New Roman"/>
              </w:rPr>
              <w:t>22</w:t>
            </w:r>
          </w:p>
        </w:tc>
        <w:tc>
          <w:tcPr>
            <w:tcW w:w="1843" w:type="dxa"/>
            <w:tcBorders>
              <w:bottom w:val="single" w:sz="8" w:space="0" w:color="9F8AB9" w:themeColor="accent4" w:themeTint="BF"/>
            </w:tcBorders>
          </w:tcPr>
          <w:p w:rsidR="006A2F53" w:rsidRPr="008643EB" w:rsidRDefault="006A2F53" w:rsidP="00525AA7">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Budget monitoring</w:t>
            </w:r>
          </w:p>
        </w:tc>
        <w:tc>
          <w:tcPr>
            <w:tcW w:w="3544" w:type="dxa"/>
            <w:tcBorders>
              <w:bottom w:val="single" w:sz="8" w:space="0" w:color="9F8AB9" w:themeColor="accent4" w:themeTint="BF"/>
            </w:tcBorders>
          </w:tcPr>
          <w:p w:rsidR="006A2F53" w:rsidRPr="00BF2B31" w:rsidRDefault="006A2F53" w:rsidP="00525AA7">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Detailed scrutiny of</w:t>
            </w:r>
            <w:r>
              <w:rPr>
                <w:rFonts w:asciiTheme="minorHAnsi" w:hAnsiTheme="minorHAnsi" w:cs="Times New Roman"/>
                <w:sz w:val="20"/>
                <w:szCs w:val="20"/>
              </w:rPr>
              <w:t xml:space="preserve"> in-year budget monitoring, MTFS and </w:t>
            </w:r>
            <w:r w:rsidRPr="00BF2B31">
              <w:rPr>
                <w:rFonts w:asciiTheme="minorHAnsi" w:hAnsiTheme="minorHAnsi" w:cs="Times New Roman"/>
                <w:sz w:val="20"/>
                <w:szCs w:val="20"/>
              </w:rPr>
              <w:t>budget gap</w:t>
            </w:r>
          </w:p>
        </w:tc>
        <w:tc>
          <w:tcPr>
            <w:tcW w:w="2268" w:type="dxa"/>
            <w:tcBorders>
              <w:bottom w:val="single" w:sz="8" w:space="0" w:color="9F8AB9" w:themeColor="accent4" w:themeTint="BF"/>
            </w:tcBorders>
          </w:tcPr>
          <w:p w:rsidR="006A2F53" w:rsidRPr="00BF2B31" w:rsidRDefault="006A2F53" w:rsidP="00525AA7">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To be assured that the council can deliver a balanced budget and that the three year budget is on course</w:t>
            </w:r>
          </w:p>
        </w:tc>
        <w:tc>
          <w:tcPr>
            <w:tcW w:w="2003" w:type="dxa"/>
            <w:tcBorders>
              <w:bottom w:val="single" w:sz="8" w:space="0" w:color="9F8AB9" w:themeColor="accent4" w:themeTint="BF"/>
            </w:tcBorders>
          </w:tcPr>
          <w:p w:rsidR="006A2F53" w:rsidRPr="00BF2B31" w:rsidRDefault="006A2F53" w:rsidP="00525A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P&amp;F</w:t>
            </w:r>
          </w:p>
        </w:tc>
        <w:tc>
          <w:tcPr>
            <w:tcW w:w="4092" w:type="dxa"/>
            <w:tcBorders>
              <w:bottom w:val="single" w:sz="8" w:space="0" w:color="9F8AB9" w:themeColor="accent4" w:themeTint="BF"/>
            </w:tcBorders>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6A2F53" w:rsidRDefault="006A2F53" w:rsidP="00D523EC">
            <w:pPr>
              <w:spacing w:after="0" w:line="240" w:lineRule="auto"/>
              <w:rPr>
                <w:rFonts w:eastAsia="Times New Roman"/>
              </w:rPr>
            </w:pPr>
            <w:r>
              <w:rPr>
                <w:rFonts w:eastAsia="Times New Roman"/>
              </w:rPr>
              <w:t>23</w:t>
            </w:r>
          </w:p>
        </w:tc>
        <w:tc>
          <w:tcPr>
            <w:tcW w:w="1843" w:type="dxa"/>
            <w:tcBorders>
              <w:bottom w:val="single" w:sz="8" w:space="0" w:color="9F8AB9" w:themeColor="accent4" w:themeTint="BF"/>
            </w:tcBorders>
          </w:tcPr>
          <w:p w:rsidR="006A2F53" w:rsidRDefault="006A2F53" w:rsidP="00D523E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The valuation of business rates yield</w:t>
            </w:r>
          </w:p>
        </w:tc>
        <w:tc>
          <w:tcPr>
            <w:tcW w:w="3544" w:type="dxa"/>
            <w:tcBorders>
              <w:bottom w:val="single" w:sz="8" w:space="0" w:color="9F8AB9" w:themeColor="accent4" w:themeTint="BF"/>
            </w:tcBorders>
          </w:tcPr>
          <w:p w:rsidR="006A2F53" w:rsidRPr="00BF2B31" w:rsidRDefault="006A2F53" w:rsidP="00D523EC">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The yield from business rates continues to drop dramatically and may affect services of the Council particularly with Government proposals regarding this area. Why because the Council has to plan how it is going to prepare for the potential loss of revenue.</w:t>
            </w:r>
          </w:p>
        </w:tc>
        <w:tc>
          <w:tcPr>
            <w:tcW w:w="2268" w:type="dxa"/>
            <w:tcBorders>
              <w:bottom w:val="single" w:sz="8" w:space="0" w:color="9F8AB9" w:themeColor="accent4" w:themeTint="BF"/>
            </w:tcBorders>
          </w:tcPr>
          <w:p w:rsidR="006A2F53" w:rsidRPr="00BF2B31" w:rsidRDefault="006A2F53" w:rsidP="00D523EC">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Help s</w:t>
            </w:r>
            <w:r>
              <w:rPr>
                <w:sz w:val="20"/>
                <w:szCs w:val="20"/>
              </w:rPr>
              <w:t xml:space="preserve">ecure service </w:t>
            </w:r>
            <w:proofErr w:type="spellStart"/>
            <w:r>
              <w:rPr>
                <w:sz w:val="20"/>
                <w:szCs w:val="20"/>
              </w:rPr>
              <w:t>impro</w:t>
            </w:r>
            <w:r w:rsidRPr="00BF2B31">
              <w:rPr>
                <w:sz w:val="20"/>
                <w:szCs w:val="20"/>
              </w:rPr>
              <w:t>ement</w:t>
            </w:r>
            <w:proofErr w:type="spellEnd"/>
          </w:p>
        </w:tc>
        <w:tc>
          <w:tcPr>
            <w:tcW w:w="2003" w:type="dxa"/>
            <w:tcBorders>
              <w:bottom w:val="single" w:sz="8" w:space="0" w:color="9F8AB9" w:themeColor="accent4" w:themeTint="BF"/>
            </w:tcBorders>
          </w:tcPr>
          <w:p w:rsidR="006A2F53" w:rsidRPr="00BF2B31" w:rsidRDefault="006A2F53" w:rsidP="00D523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P&amp;F</w:t>
            </w:r>
          </w:p>
        </w:tc>
        <w:tc>
          <w:tcPr>
            <w:tcW w:w="4092" w:type="dxa"/>
            <w:tcBorders>
              <w:bottom w:val="single" w:sz="8" w:space="0" w:color="9F8AB9" w:themeColor="accent4" w:themeTint="BF"/>
            </w:tcBorders>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6"/>
            <w:shd w:val="clear" w:color="auto" w:fill="FABF8F" w:themeFill="accent6" w:themeFillTint="99"/>
          </w:tcPr>
          <w:p w:rsidR="006A2F53" w:rsidRPr="00BF2B31" w:rsidRDefault="006A2F53" w:rsidP="004A669B">
            <w:pPr>
              <w:jc w:val="center"/>
              <w:rPr>
                <w:sz w:val="20"/>
                <w:szCs w:val="20"/>
              </w:rPr>
            </w:pPr>
            <w:r w:rsidRPr="00BF2B31">
              <w:rPr>
                <w:sz w:val="20"/>
                <w:szCs w:val="20"/>
              </w:rPr>
              <w:t>Leads</w:t>
            </w: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Default="006A2F53" w:rsidP="00A37980">
            <w:pPr>
              <w:spacing w:after="0" w:line="240" w:lineRule="auto"/>
            </w:pPr>
            <w:r>
              <w:t>24</w:t>
            </w:r>
          </w:p>
        </w:tc>
        <w:tc>
          <w:tcPr>
            <w:tcW w:w="1843" w:type="dxa"/>
            <w:vAlign w:val="center"/>
          </w:tcPr>
          <w:p w:rsidR="006A2F53" w:rsidRDefault="006A2F53">
            <w:pPr>
              <w:cnfStyle w:val="000000000000" w:firstRow="0" w:lastRow="0" w:firstColumn="0" w:lastColumn="0" w:oddVBand="0" w:evenVBand="0" w:oddHBand="0" w:evenHBand="0" w:firstRowFirstColumn="0" w:firstRowLastColumn="0" w:lastRowFirstColumn="0" w:lastRowLastColumn="0"/>
              <w:rPr>
                <w:b/>
                <w:bCs/>
                <w:color w:val="000000"/>
              </w:rPr>
            </w:pPr>
            <w:r>
              <w:rPr>
                <w:b/>
                <w:bCs/>
                <w:color w:val="000000"/>
              </w:rPr>
              <w:t>Staff declaration of social identity information</w:t>
            </w:r>
          </w:p>
        </w:tc>
        <w:tc>
          <w:tcPr>
            <w:tcW w:w="3544" w:type="dxa"/>
            <w:vAlign w:val="center"/>
          </w:tcPr>
          <w:p w:rsidR="006A2F53" w:rsidRPr="00BF2B31" w:rsidRDefault="006A2F5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BF2B31">
              <w:rPr>
                <w:color w:val="000000"/>
                <w:sz w:val="20"/>
                <w:szCs w:val="20"/>
              </w:rPr>
              <w:t xml:space="preserve">There has been a pattern of </w:t>
            </w:r>
            <w:proofErr w:type="gramStart"/>
            <w:r w:rsidRPr="00BF2B31">
              <w:rPr>
                <w:color w:val="000000"/>
                <w:sz w:val="20"/>
                <w:szCs w:val="20"/>
              </w:rPr>
              <w:t>staff  and</w:t>
            </w:r>
            <w:proofErr w:type="gramEnd"/>
            <w:r w:rsidRPr="00BF2B31">
              <w:rPr>
                <w:color w:val="000000"/>
                <w:sz w:val="20"/>
                <w:szCs w:val="20"/>
              </w:rPr>
              <w:t xml:space="preserve"> service users not declaring their social identity information, especially disability and sexual orientation (almost 83% didn’t answer this question). This data is important to help policy development and service improvement.</w:t>
            </w:r>
          </w:p>
        </w:tc>
        <w:tc>
          <w:tcPr>
            <w:tcW w:w="2268" w:type="dxa"/>
            <w:vAlign w:val="center"/>
          </w:tcPr>
          <w:p w:rsidR="006A2F53" w:rsidRPr="00BF2B31" w:rsidRDefault="006A2F5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BF2B31">
              <w:rPr>
                <w:color w:val="000000"/>
                <w:sz w:val="20"/>
                <w:szCs w:val="20"/>
              </w:rPr>
              <w:t xml:space="preserve">Help secure service improvement in terms of policy development and efficiency savings </w:t>
            </w:r>
            <w:proofErr w:type="spellStart"/>
            <w:r w:rsidRPr="00BF2B31">
              <w:rPr>
                <w:color w:val="000000"/>
                <w:sz w:val="20"/>
                <w:szCs w:val="20"/>
              </w:rPr>
              <w:t>EqIAs</w:t>
            </w:r>
            <w:proofErr w:type="spellEnd"/>
          </w:p>
        </w:tc>
        <w:tc>
          <w:tcPr>
            <w:tcW w:w="2003" w:type="dxa"/>
            <w:vAlign w:val="center"/>
          </w:tcPr>
          <w:p w:rsidR="006A2F53" w:rsidRPr="00BF2B31" w:rsidRDefault="006A2F53">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BF2B31">
              <w:rPr>
                <w:color w:val="000000"/>
                <w:sz w:val="20"/>
                <w:szCs w:val="20"/>
              </w:rPr>
              <w:t>All Leads</w:t>
            </w:r>
          </w:p>
        </w:tc>
        <w:tc>
          <w:tcPr>
            <w:tcW w:w="4092" w:type="dxa"/>
          </w:tcPr>
          <w:p w:rsidR="006A2F53" w:rsidRPr="00BF2B31" w:rsidRDefault="006A2F53">
            <w:pP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A37980">
            <w:pPr>
              <w:spacing w:after="0" w:line="240" w:lineRule="auto"/>
            </w:pPr>
            <w:r>
              <w:t>25</w:t>
            </w:r>
          </w:p>
        </w:tc>
        <w:tc>
          <w:tcPr>
            <w:tcW w:w="1843" w:type="dxa"/>
          </w:tcPr>
          <w:p w:rsidR="006A2F53" w:rsidRPr="008643EB" w:rsidRDefault="006A2F53" w:rsidP="00A37980">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8643EB">
              <w:rPr>
                <w:b/>
              </w:rPr>
              <w:t>Planning Enforcement</w:t>
            </w:r>
          </w:p>
        </w:tc>
        <w:tc>
          <w:tcPr>
            <w:tcW w:w="3544"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rPr>
            </w:pPr>
          </w:p>
        </w:tc>
        <w:tc>
          <w:tcPr>
            <w:tcW w:w="2268"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p>
        </w:tc>
        <w:tc>
          <w:tcPr>
            <w:tcW w:w="2003"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E&amp;E Leads</w:t>
            </w:r>
          </w:p>
        </w:tc>
        <w:tc>
          <w:tcPr>
            <w:tcW w:w="4092"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A37980">
            <w:r>
              <w:t>26</w:t>
            </w:r>
          </w:p>
        </w:tc>
        <w:tc>
          <w:tcPr>
            <w:tcW w:w="1843" w:type="dxa"/>
          </w:tcPr>
          <w:p w:rsidR="006A2F53" w:rsidRPr="008643EB" w:rsidRDefault="006A2F53" w:rsidP="00A37980">
            <w:pPr>
              <w:cnfStyle w:val="000000000000" w:firstRow="0" w:lastRow="0" w:firstColumn="0" w:lastColumn="0" w:oddVBand="0" w:evenVBand="0" w:oddHBand="0" w:evenHBand="0" w:firstRowFirstColumn="0" w:firstRowLastColumn="0" w:lastRowFirstColumn="0" w:lastRowLastColumn="0"/>
              <w:rPr>
                <w:b/>
              </w:rPr>
            </w:pPr>
            <w:r w:rsidRPr="008643EB">
              <w:rPr>
                <w:b/>
              </w:rPr>
              <w:t>Domestic Violence Strategy and Action Plan in Action</w:t>
            </w:r>
          </w:p>
        </w:tc>
        <w:tc>
          <w:tcPr>
            <w:tcW w:w="3544"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As a key priority for the council, and with the Strategy having been in operation for over one year, it is timely to ensure it has a correct focus and is delivering in the most important areas</w:t>
            </w:r>
          </w:p>
        </w:tc>
        <w:tc>
          <w:tcPr>
            <w:tcW w:w="2268"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Deliver better outcome based services with evidence based solutions for those affected by DV</w:t>
            </w:r>
          </w:p>
          <w:p w:rsidR="006A2F53" w:rsidRPr="00BF2B31" w:rsidRDefault="006A2F53" w:rsidP="00A37980">
            <w:pPr>
              <w:ind w:firstLine="720"/>
              <w:cnfStyle w:val="000000000000" w:firstRow="0" w:lastRow="0" w:firstColumn="0" w:lastColumn="0" w:oddVBand="0" w:evenVBand="0" w:oddHBand="0" w:evenHBand="0" w:firstRowFirstColumn="0" w:firstRowLastColumn="0" w:lastRowFirstColumn="0" w:lastRowLastColumn="0"/>
              <w:rPr>
                <w:sz w:val="20"/>
                <w:szCs w:val="20"/>
              </w:rPr>
            </w:pPr>
          </w:p>
        </w:tc>
        <w:tc>
          <w:tcPr>
            <w:tcW w:w="2003" w:type="dxa"/>
          </w:tcPr>
          <w:p w:rsidR="006A2F53" w:rsidRPr="00BF2B31" w:rsidRDefault="006A2F53" w:rsidP="003947C9">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Resources Leads</w:t>
            </w:r>
          </w:p>
        </w:tc>
        <w:tc>
          <w:tcPr>
            <w:tcW w:w="4092" w:type="dxa"/>
          </w:tcPr>
          <w:p w:rsidR="006A2F53" w:rsidRPr="00BF2B31" w:rsidRDefault="006A2F53" w:rsidP="003947C9">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853186">
            <w:pPr>
              <w:spacing w:after="0" w:line="240" w:lineRule="auto"/>
            </w:pPr>
            <w:r>
              <w:t>27</w:t>
            </w:r>
          </w:p>
        </w:tc>
        <w:tc>
          <w:tcPr>
            <w:tcW w:w="1843" w:type="dxa"/>
          </w:tcPr>
          <w:p w:rsidR="006A2F53" w:rsidRPr="008643EB" w:rsidRDefault="006A2F53" w:rsidP="00853186">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8643EB">
              <w:rPr>
                <w:b/>
              </w:rPr>
              <w:t>Health visiting service</w:t>
            </w:r>
          </w:p>
        </w:tc>
        <w:tc>
          <w:tcPr>
            <w:tcW w:w="3544"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The council took responsibility for this service in 2015. How are we doing?</w:t>
            </w:r>
          </w:p>
        </w:tc>
        <w:tc>
          <w:tcPr>
            <w:tcW w:w="2268"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Helps secure service improvements</w:t>
            </w:r>
          </w:p>
        </w:tc>
        <w:tc>
          <w:tcPr>
            <w:tcW w:w="2003"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Health Leads</w:t>
            </w:r>
          </w:p>
        </w:tc>
        <w:tc>
          <w:tcPr>
            <w:tcW w:w="4092"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853186">
            <w:pPr>
              <w:spacing w:after="0" w:line="240" w:lineRule="auto"/>
            </w:pPr>
            <w:r>
              <w:t>28</w:t>
            </w:r>
          </w:p>
        </w:tc>
        <w:tc>
          <w:tcPr>
            <w:tcW w:w="1843" w:type="dxa"/>
          </w:tcPr>
          <w:p w:rsidR="006A2F53" w:rsidRPr="008643EB" w:rsidRDefault="006A2F53" w:rsidP="0085318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Childcare &amp; Children’s Centres</w:t>
            </w:r>
          </w:p>
        </w:tc>
        <w:tc>
          <w:tcPr>
            <w:tcW w:w="3544"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Affordable, high quality and flexible childcare is important for child outcomes &amp; employment – could more be done? Also, many providers are struggling to provide the 30 hours promised by the government, what is the local situation?</w:t>
            </w:r>
            <w:r>
              <w:rPr>
                <w:rFonts w:asciiTheme="minorHAnsi" w:eastAsia="Times New Roman" w:hAnsiTheme="minorHAnsi" w:cs="Times New Roman"/>
                <w:sz w:val="20"/>
                <w:szCs w:val="20"/>
              </w:rPr>
              <w:t xml:space="preserve"> Monitoring the new model for </w:t>
            </w:r>
            <w:proofErr w:type="spellStart"/>
            <w:r>
              <w:rPr>
                <w:rFonts w:asciiTheme="minorHAnsi" w:eastAsia="Times New Roman" w:hAnsiTheme="minorHAnsi" w:cs="Times New Roman"/>
                <w:sz w:val="20"/>
                <w:szCs w:val="20"/>
              </w:rPr>
              <w:t>childrens</w:t>
            </w:r>
            <w:proofErr w:type="spellEnd"/>
            <w:r>
              <w:rPr>
                <w:rFonts w:asciiTheme="minorHAnsi" w:eastAsia="Times New Roman" w:hAnsiTheme="minorHAnsi" w:cs="Times New Roman"/>
                <w:sz w:val="20"/>
                <w:szCs w:val="20"/>
              </w:rPr>
              <w:t xml:space="preserve"> centres, the action plan and success measures</w:t>
            </w:r>
          </w:p>
        </w:tc>
        <w:tc>
          <w:tcPr>
            <w:tcW w:w="2268"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Helps secure service improvements</w:t>
            </w:r>
          </w:p>
        </w:tc>
        <w:tc>
          <w:tcPr>
            <w:tcW w:w="2003"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Children’s </w:t>
            </w:r>
            <w:r w:rsidRPr="00BF2B31">
              <w:rPr>
                <w:sz w:val="20"/>
                <w:szCs w:val="20"/>
              </w:rPr>
              <w:t>Leads</w:t>
            </w:r>
          </w:p>
        </w:tc>
        <w:tc>
          <w:tcPr>
            <w:tcW w:w="4092"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Default="006A2F53" w:rsidP="00853186">
            <w:pPr>
              <w:spacing w:after="0" w:line="240" w:lineRule="auto"/>
            </w:pPr>
            <w:r>
              <w:t>29</w:t>
            </w:r>
          </w:p>
        </w:tc>
        <w:tc>
          <w:tcPr>
            <w:tcW w:w="1843" w:type="dxa"/>
          </w:tcPr>
          <w:p w:rsidR="006A2F53" w:rsidRDefault="006A2F53" w:rsidP="0085318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SEND implementation</w:t>
            </w:r>
          </w:p>
        </w:tc>
        <w:tc>
          <w:tcPr>
            <w:tcW w:w="3544"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rPr>
            </w:pPr>
            <w:r>
              <w:rPr>
                <w:rFonts w:asciiTheme="minorHAnsi" w:eastAsia="Times New Roman" w:hAnsiTheme="minorHAnsi" w:cs="Times New Roman"/>
                <w:sz w:val="20"/>
                <w:szCs w:val="20"/>
              </w:rPr>
              <w:t>Monitoring the effectiveness of SEND reforms and EHC plans</w:t>
            </w:r>
          </w:p>
        </w:tc>
        <w:tc>
          <w:tcPr>
            <w:tcW w:w="2268"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p>
        </w:tc>
        <w:tc>
          <w:tcPr>
            <w:tcW w:w="2003"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Children’s leads</w:t>
            </w:r>
          </w:p>
        </w:tc>
        <w:tc>
          <w:tcPr>
            <w:tcW w:w="4092" w:type="dxa"/>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3921FF">
            <w:pPr>
              <w:spacing w:after="0" w:line="240" w:lineRule="auto"/>
            </w:pPr>
            <w:r>
              <w:t>30</w:t>
            </w:r>
          </w:p>
        </w:tc>
        <w:tc>
          <w:tcPr>
            <w:tcW w:w="1843" w:type="dxa"/>
          </w:tcPr>
          <w:p w:rsidR="006A2F53" w:rsidRPr="008643EB" w:rsidRDefault="006A2F53" w:rsidP="0085318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Harrow Arts Centre</w:t>
            </w:r>
          </w:p>
        </w:tc>
        <w:tc>
          <w:tcPr>
            <w:tcW w:w="3544"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What happens if the money is not raised, what is the plan B</w:t>
            </w:r>
          </w:p>
        </w:tc>
        <w:tc>
          <w:tcPr>
            <w:tcW w:w="2268"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p>
        </w:tc>
        <w:tc>
          <w:tcPr>
            <w:tcW w:w="2003"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E&amp;E Leads</w:t>
            </w:r>
          </w:p>
        </w:tc>
        <w:tc>
          <w:tcPr>
            <w:tcW w:w="4092" w:type="dxa"/>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6A2F53" w:rsidRDefault="006A2F53" w:rsidP="00853186">
            <w:pPr>
              <w:spacing w:after="0" w:line="240" w:lineRule="auto"/>
            </w:pPr>
            <w:r>
              <w:t>31</w:t>
            </w:r>
          </w:p>
        </w:tc>
        <w:tc>
          <w:tcPr>
            <w:tcW w:w="1843" w:type="dxa"/>
            <w:tcBorders>
              <w:bottom w:val="single" w:sz="8" w:space="0" w:color="9F8AB9" w:themeColor="accent4" w:themeTint="BF"/>
            </w:tcBorders>
          </w:tcPr>
          <w:p w:rsidR="006A2F53" w:rsidRDefault="006A2F53" w:rsidP="0085318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Housing benefit and Council tax Support </w:t>
            </w:r>
          </w:p>
        </w:tc>
        <w:tc>
          <w:tcPr>
            <w:tcW w:w="3544" w:type="dxa"/>
            <w:tcBorders>
              <w:bottom w:val="single" w:sz="8" w:space="0" w:color="9F8AB9" w:themeColor="accent4" w:themeTint="BF"/>
            </w:tcBorders>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What is happening to cause numerous errors in assessing people’s claims</w:t>
            </w:r>
          </w:p>
        </w:tc>
        <w:tc>
          <w:tcPr>
            <w:tcW w:w="2268" w:type="dxa"/>
            <w:tcBorders>
              <w:bottom w:val="single" w:sz="8" w:space="0" w:color="9F8AB9" w:themeColor="accent4" w:themeTint="BF"/>
            </w:tcBorders>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p>
        </w:tc>
        <w:tc>
          <w:tcPr>
            <w:tcW w:w="2003" w:type="dxa"/>
            <w:tcBorders>
              <w:bottom w:val="single" w:sz="8" w:space="0" w:color="9F8AB9" w:themeColor="accent4" w:themeTint="BF"/>
            </w:tcBorders>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Resources Leads to look at data and complaints to get a sense of the scale of the problem</w:t>
            </w:r>
          </w:p>
        </w:tc>
        <w:tc>
          <w:tcPr>
            <w:tcW w:w="4092" w:type="dxa"/>
            <w:tcBorders>
              <w:bottom w:val="single" w:sz="8" w:space="0" w:color="9F8AB9" w:themeColor="accent4" w:themeTint="BF"/>
            </w:tcBorders>
          </w:tcPr>
          <w:p w:rsidR="006A2F53" w:rsidRPr="00BF2B31" w:rsidRDefault="006A2F53" w:rsidP="00853186">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9F8AB9" w:themeColor="accent4" w:themeTint="BF"/>
            </w:tcBorders>
          </w:tcPr>
          <w:p w:rsidR="006A2F53" w:rsidRPr="008643EB" w:rsidRDefault="006A2F53" w:rsidP="003823A0">
            <w:pPr>
              <w:spacing w:after="0" w:line="240" w:lineRule="auto"/>
              <w:rPr>
                <w:bCs w:val="0"/>
              </w:rPr>
            </w:pPr>
            <w:r>
              <w:rPr>
                <w:bCs w:val="0"/>
              </w:rPr>
              <w:t>32</w:t>
            </w:r>
          </w:p>
        </w:tc>
        <w:tc>
          <w:tcPr>
            <w:tcW w:w="1843" w:type="dxa"/>
            <w:tcBorders>
              <w:bottom w:val="single" w:sz="8" w:space="0" w:color="9F8AB9" w:themeColor="accent4" w:themeTint="BF"/>
            </w:tcBorders>
          </w:tcPr>
          <w:p w:rsidR="006A2F53" w:rsidRPr="008643EB" w:rsidRDefault="006A2F53" w:rsidP="003823A0">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8643EB">
              <w:rPr>
                <w:b/>
                <w:bCs/>
              </w:rPr>
              <w:t xml:space="preserve">Improve the quality of our homes and estates by implementing the Harrow Better Homes Standard </w:t>
            </w:r>
          </w:p>
        </w:tc>
        <w:tc>
          <w:tcPr>
            <w:tcW w:w="3544" w:type="dxa"/>
            <w:tcBorders>
              <w:bottom w:val="single" w:sz="8" w:space="0" w:color="9F8AB9" w:themeColor="accent4" w:themeTint="BF"/>
            </w:tcBorders>
          </w:tcPr>
          <w:p w:rsidR="006A2F53" w:rsidRPr="00BF2B31" w:rsidRDefault="006A2F53" w:rsidP="003823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0"/>
                <w:szCs w:val="20"/>
              </w:rPr>
            </w:pPr>
            <w:r w:rsidRPr="00BF2B31">
              <w:rPr>
                <w:rFonts w:asciiTheme="minorHAnsi" w:eastAsia="Times New Roman" w:hAnsiTheme="minorHAnsi" w:cs="Times New Roman"/>
                <w:sz w:val="20"/>
                <w:szCs w:val="20"/>
              </w:rPr>
              <w:t>The Harrow Ambition Plan sets out the ambition to approve a rolling 5 year Better Homes programme</w:t>
            </w:r>
          </w:p>
        </w:tc>
        <w:tc>
          <w:tcPr>
            <w:tcW w:w="2268" w:type="dxa"/>
            <w:tcBorders>
              <w:bottom w:val="single" w:sz="8" w:space="0" w:color="9F8AB9" w:themeColor="accent4" w:themeTint="BF"/>
            </w:tcBorders>
          </w:tcPr>
          <w:p w:rsidR="006A2F53" w:rsidRPr="00BF2B31" w:rsidRDefault="006A2F53" w:rsidP="003823A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Helps secure service improvements</w:t>
            </w:r>
          </w:p>
        </w:tc>
        <w:tc>
          <w:tcPr>
            <w:tcW w:w="2003" w:type="dxa"/>
            <w:tcBorders>
              <w:bottom w:val="single" w:sz="8" w:space="0" w:color="9F8AB9" w:themeColor="accent4" w:themeTint="BF"/>
            </w:tcBorders>
          </w:tcPr>
          <w:p w:rsidR="006A2F53" w:rsidRPr="00BF2B31" w:rsidRDefault="006A2F53" w:rsidP="003823A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E&amp;E leads</w:t>
            </w:r>
          </w:p>
        </w:tc>
        <w:tc>
          <w:tcPr>
            <w:tcW w:w="4092" w:type="dxa"/>
            <w:tcBorders>
              <w:bottom w:val="single" w:sz="8" w:space="0" w:color="9F8AB9" w:themeColor="accent4" w:themeTint="BF"/>
            </w:tcBorders>
          </w:tcPr>
          <w:p w:rsidR="006A2F53" w:rsidRPr="00BF2B31" w:rsidRDefault="006A2F53" w:rsidP="00853186">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gridSpan w:val="6"/>
            <w:shd w:val="clear" w:color="auto" w:fill="FABF8F" w:themeFill="accent6" w:themeFillTint="99"/>
          </w:tcPr>
          <w:p w:rsidR="006A2F53" w:rsidRPr="00BF2B31" w:rsidRDefault="006A2F53" w:rsidP="004A669B">
            <w:pPr>
              <w:jc w:val="center"/>
              <w:rPr>
                <w:sz w:val="20"/>
                <w:szCs w:val="20"/>
              </w:rPr>
            </w:pPr>
            <w:r w:rsidRPr="00BF2B31">
              <w:rPr>
                <w:sz w:val="20"/>
                <w:szCs w:val="20"/>
              </w:rPr>
              <w:t>To Be Determined</w:t>
            </w: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Default="006A2F53" w:rsidP="00DB15A8">
            <w:pPr>
              <w:spacing w:after="0" w:line="240" w:lineRule="auto"/>
              <w:rPr>
                <w:rFonts w:eastAsia="Times New Roman"/>
              </w:rPr>
            </w:pPr>
            <w:r>
              <w:rPr>
                <w:rFonts w:eastAsia="Times New Roman"/>
              </w:rPr>
              <w:t>33</w:t>
            </w:r>
          </w:p>
        </w:tc>
        <w:tc>
          <w:tcPr>
            <w:tcW w:w="1843" w:type="dxa"/>
          </w:tcPr>
          <w:p w:rsidR="006A2F53" w:rsidRDefault="006A2F53" w:rsidP="00DB15A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Closing the educational attainment gap</w:t>
            </w:r>
          </w:p>
        </w:tc>
        <w:tc>
          <w:tcPr>
            <w:tcW w:w="3544" w:type="dxa"/>
          </w:tcPr>
          <w:p w:rsidR="006A2F53" w:rsidRDefault="006A2F53" w:rsidP="000D637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Pr>
                <w:rFonts w:asciiTheme="minorHAnsi" w:hAnsiTheme="minorHAnsi" w:cs="Times New Roman"/>
                <w:sz w:val="20"/>
                <w:szCs w:val="20"/>
              </w:rPr>
              <w:t>Topic left over from previous work programme.</w:t>
            </w:r>
          </w:p>
        </w:tc>
        <w:tc>
          <w:tcPr>
            <w:tcW w:w="2268" w:type="dxa"/>
          </w:tcPr>
          <w:p w:rsidR="006A2F53" w:rsidRPr="00196887" w:rsidRDefault="006A2F53" w:rsidP="001608FE">
            <w:pPr>
              <w:cnfStyle w:val="000000000000" w:firstRow="0" w:lastRow="0" w:firstColumn="0" w:lastColumn="0" w:oddVBand="0" w:evenVBand="0" w:oddHBand="0" w:evenHBand="0" w:firstRowFirstColumn="0" w:firstRowLastColumn="0" w:lastRowFirstColumn="0" w:lastRowLastColumn="0"/>
              <w:rPr>
                <w:sz w:val="20"/>
                <w:szCs w:val="20"/>
              </w:rPr>
            </w:pPr>
            <w:r w:rsidRPr="00E95A8F">
              <w:rPr>
                <w:sz w:val="20"/>
                <w:szCs w:val="20"/>
              </w:rPr>
              <w:t>Help secure service improvement</w:t>
            </w:r>
          </w:p>
        </w:tc>
        <w:tc>
          <w:tcPr>
            <w:tcW w:w="2003" w:type="dxa"/>
          </w:tcPr>
          <w:p w:rsidR="006A2F53" w:rsidRPr="00BF2B31" w:rsidRDefault="006A2F53" w:rsidP="00525AA7">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To be determined</w:t>
            </w:r>
          </w:p>
        </w:tc>
        <w:tc>
          <w:tcPr>
            <w:tcW w:w="4092" w:type="dxa"/>
          </w:tcPr>
          <w:p w:rsidR="006A2F53" w:rsidRDefault="006A2F53" w:rsidP="000D637D">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Default="006A2F53" w:rsidP="00DB15A8">
            <w:pPr>
              <w:spacing w:after="0" w:line="240" w:lineRule="auto"/>
              <w:rPr>
                <w:rFonts w:eastAsia="Times New Roman"/>
              </w:rPr>
            </w:pPr>
            <w:r>
              <w:rPr>
                <w:rFonts w:eastAsia="Times New Roman"/>
              </w:rPr>
              <w:t>34</w:t>
            </w:r>
          </w:p>
        </w:tc>
        <w:tc>
          <w:tcPr>
            <w:tcW w:w="1843" w:type="dxa"/>
          </w:tcPr>
          <w:p w:rsidR="006A2F53" w:rsidRDefault="006A2F53" w:rsidP="00DB15A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Getting young people into work</w:t>
            </w:r>
          </w:p>
        </w:tc>
        <w:tc>
          <w:tcPr>
            <w:tcW w:w="3544" w:type="dxa"/>
          </w:tcPr>
          <w:p w:rsidR="006A2F53" w:rsidRDefault="006A2F53" w:rsidP="000D637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Pr>
                <w:rFonts w:asciiTheme="minorHAnsi" w:hAnsiTheme="minorHAnsi" w:cs="Times New Roman"/>
                <w:sz w:val="20"/>
                <w:szCs w:val="20"/>
              </w:rPr>
              <w:t>What impact are our efforts to increase the number of apprentices having and what impact will government changes about apprenticeship levy and quota have.</w:t>
            </w:r>
          </w:p>
        </w:tc>
        <w:tc>
          <w:tcPr>
            <w:tcW w:w="2268" w:type="dxa"/>
          </w:tcPr>
          <w:p w:rsidR="006A2F53" w:rsidRPr="00196887" w:rsidRDefault="006A2F53" w:rsidP="001608FE">
            <w:pPr>
              <w:cnfStyle w:val="000000100000" w:firstRow="0" w:lastRow="0" w:firstColumn="0" w:lastColumn="0" w:oddVBand="0" w:evenVBand="0" w:oddHBand="1" w:evenHBand="0" w:firstRowFirstColumn="0" w:firstRowLastColumn="0" w:lastRowFirstColumn="0" w:lastRowLastColumn="0"/>
              <w:rPr>
                <w:sz w:val="20"/>
                <w:szCs w:val="20"/>
              </w:rPr>
            </w:pPr>
            <w:r w:rsidRPr="00E95A8F">
              <w:rPr>
                <w:sz w:val="20"/>
                <w:szCs w:val="20"/>
              </w:rPr>
              <w:t>Help secure service improvement</w:t>
            </w:r>
          </w:p>
        </w:tc>
        <w:tc>
          <w:tcPr>
            <w:tcW w:w="2003" w:type="dxa"/>
          </w:tcPr>
          <w:p w:rsidR="006A2F53" w:rsidRPr="00BF2B31" w:rsidRDefault="006A2F53" w:rsidP="00525AA7">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To be determined</w:t>
            </w:r>
          </w:p>
        </w:tc>
        <w:tc>
          <w:tcPr>
            <w:tcW w:w="4092" w:type="dxa"/>
          </w:tcPr>
          <w:p w:rsidR="006A2F53" w:rsidRDefault="006A2F53" w:rsidP="000D637D">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Default="006A2F53" w:rsidP="00DB15A8">
            <w:pPr>
              <w:spacing w:after="0" w:line="240" w:lineRule="auto"/>
              <w:rPr>
                <w:rFonts w:eastAsia="Times New Roman"/>
              </w:rPr>
            </w:pPr>
            <w:r>
              <w:rPr>
                <w:rFonts w:eastAsia="Times New Roman"/>
              </w:rPr>
              <w:t>35</w:t>
            </w:r>
          </w:p>
        </w:tc>
        <w:tc>
          <w:tcPr>
            <w:tcW w:w="1843" w:type="dxa"/>
          </w:tcPr>
          <w:p w:rsidR="006A2F53" w:rsidRDefault="006A2F53" w:rsidP="00DB15A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b/>
              </w:rPr>
              <w:t>Family/Community services for asylum seekers</w:t>
            </w:r>
          </w:p>
        </w:tc>
        <w:tc>
          <w:tcPr>
            <w:tcW w:w="3544" w:type="dxa"/>
          </w:tcPr>
          <w:p w:rsidR="006A2F53" w:rsidRPr="00BF2B31" w:rsidRDefault="006A2F53" w:rsidP="000D637D">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Pr>
                <w:rFonts w:asciiTheme="minorHAnsi" w:hAnsiTheme="minorHAnsi" w:cs="Times New Roman"/>
                <w:sz w:val="20"/>
                <w:szCs w:val="20"/>
              </w:rPr>
              <w:t>These communities tend not to engage or trust public services, so what are we doing to ensure they are aware of, engaging with and accessing services available to them.</w:t>
            </w:r>
          </w:p>
        </w:tc>
        <w:tc>
          <w:tcPr>
            <w:tcW w:w="2268" w:type="dxa"/>
          </w:tcPr>
          <w:p w:rsidR="006A2F53" w:rsidRPr="00BF2B31" w:rsidRDefault="006A2F53" w:rsidP="001608FE">
            <w:pPr>
              <w:cnfStyle w:val="000000000000" w:firstRow="0" w:lastRow="0" w:firstColumn="0" w:lastColumn="0" w:oddVBand="0" w:evenVBand="0" w:oddHBand="0" w:evenHBand="0" w:firstRowFirstColumn="0" w:firstRowLastColumn="0" w:lastRowFirstColumn="0" w:lastRowLastColumn="0"/>
              <w:rPr>
                <w:sz w:val="20"/>
                <w:szCs w:val="20"/>
              </w:rPr>
            </w:pPr>
            <w:r w:rsidRPr="006A2F53">
              <w:rPr>
                <w:sz w:val="20"/>
                <w:szCs w:val="20"/>
              </w:rPr>
              <w:t>Help secure service improvement</w:t>
            </w:r>
          </w:p>
        </w:tc>
        <w:tc>
          <w:tcPr>
            <w:tcW w:w="2003" w:type="dxa"/>
          </w:tcPr>
          <w:p w:rsidR="006A2F53" w:rsidRPr="00BF2B31" w:rsidRDefault="006A2F53" w:rsidP="000D637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be determined</w:t>
            </w:r>
          </w:p>
        </w:tc>
        <w:tc>
          <w:tcPr>
            <w:tcW w:w="4092" w:type="dxa"/>
          </w:tcPr>
          <w:p w:rsidR="006A2F53" w:rsidRPr="00BF2B31" w:rsidRDefault="006A2F53" w:rsidP="000D637D">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DB15A8">
            <w:pPr>
              <w:spacing w:after="0" w:line="240" w:lineRule="auto"/>
              <w:rPr>
                <w:rFonts w:eastAsia="Times New Roman"/>
              </w:rPr>
            </w:pPr>
            <w:r>
              <w:rPr>
                <w:rFonts w:eastAsia="Times New Roman"/>
              </w:rPr>
              <w:t>36</w:t>
            </w:r>
          </w:p>
        </w:tc>
        <w:tc>
          <w:tcPr>
            <w:tcW w:w="1843" w:type="dxa"/>
          </w:tcPr>
          <w:p w:rsidR="006A2F53" w:rsidRPr="008643EB" w:rsidRDefault="006A2F53" w:rsidP="00DB15A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sidRPr="008643EB">
              <w:rPr>
                <w:rFonts w:eastAsia="Times New Roman"/>
                <w:b/>
              </w:rPr>
              <w:t>D</w:t>
            </w:r>
            <w:r>
              <w:rPr>
                <w:rFonts w:eastAsia="Times New Roman"/>
                <w:b/>
              </w:rPr>
              <w:t xml:space="preserve">iscretionary </w:t>
            </w:r>
            <w:r w:rsidRPr="008643EB">
              <w:rPr>
                <w:rFonts w:eastAsia="Times New Roman"/>
                <w:b/>
              </w:rPr>
              <w:t>H</w:t>
            </w:r>
            <w:r>
              <w:rPr>
                <w:rFonts w:eastAsia="Times New Roman"/>
                <w:b/>
              </w:rPr>
              <w:t xml:space="preserve">ousing </w:t>
            </w:r>
            <w:r w:rsidRPr="008643EB">
              <w:rPr>
                <w:rFonts w:eastAsia="Times New Roman"/>
                <w:b/>
              </w:rPr>
              <w:t>P</w:t>
            </w:r>
            <w:r>
              <w:rPr>
                <w:rFonts w:eastAsia="Times New Roman"/>
                <w:b/>
              </w:rPr>
              <w:t>ayment</w:t>
            </w:r>
            <w:r w:rsidRPr="008643EB">
              <w:rPr>
                <w:rFonts w:eastAsia="Times New Roman"/>
                <w:b/>
              </w:rPr>
              <w:t xml:space="preserve"> Criteria</w:t>
            </w:r>
          </w:p>
          <w:p w:rsidR="006A2F53" w:rsidRPr="008643EB" w:rsidRDefault="006A2F53" w:rsidP="009B599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p>
        </w:tc>
        <w:tc>
          <w:tcPr>
            <w:tcW w:w="3544" w:type="dxa"/>
          </w:tcPr>
          <w:p w:rsidR="006A2F53" w:rsidRPr="00BF2B31" w:rsidRDefault="006A2F53" w:rsidP="000D637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This was suggested as an area for further investigation during the Welfare Reform Scrutiny Review.</w:t>
            </w:r>
          </w:p>
          <w:p w:rsidR="006A2F53" w:rsidRPr="00BF2B31" w:rsidRDefault="006A2F53" w:rsidP="001608FE">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DHP can be a lifeline for households facing homelessness, enabling them to stay in their homes and avoid temporary accommodation or disruption. How it is allocated is therefore important. On the other hand, Harrow spend on homelessness is increasing all the time and considering just how DHP is used may have little impact.</w:t>
            </w:r>
          </w:p>
        </w:tc>
        <w:tc>
          <w:tcPr>
            <w:tcW w:w="2268" w:type="dxa"/>
          </w:tcPr>
          <w:p w:rsidR="006A2F53" w:rsidRPr="00BF2B31" w:rsidRDefault="006A2F53" w:rsidP="001608FE">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 xml:space="preserve">May identify that some vulnerable people are getting less support than others. Changes to the Councils approach could be recommended as a result. </w:t>
            </w:r>
          </w:p>
        </w:tc>
        <w:tc>
          <w:tcPr>
            <w:tcW w:w="2003" w:type="dxa"/>
          </w:tcPr>
          <w:p w:rsidR="006A2F53" w:rsidRPr="00BF2B31" w:rsidRDefault="006A2F53" w:rsidP="000D637D">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To be reviewed once the welfare reform report has been completed</w:t>
            </w:r>
          </w:p>
        </w:tc>
        <w:tc>
          <w:tcPr>
            <w:tcW w:w="4092" w:type="dxa"/>
          </w:tcPr>
          <w:p w:rsidR="006A2F53" w:rsidRPr="00BF2B31" w:rsidRDefault="006A2F53" w:rsidP="000D637D">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DB15A8">
            <w:pPr>
              <w:spacing w:after="0" w:line="240" w:lineRule="auto"/>
              <w:rPr>
                <w:rFonts w:eastAsia="Times New Roman"/>
              </w:rPr>
            </w:pPr>
            <w:r>
              <w:rPr>
                <w:rFonts w:eastAsia="Times New Roman"/>
              </w:rPr>
              <w:t>37</w:t>
            </w:r>
          </w:p>
        </w:tc>
        <w:tc>
          <w:tcPr>
            <w:tcW w:w="1843" w:type="dxa"/>
          </w:tcPr>
          <w:p w:rsidR="006A2F53" w:rsidRPr="008643EB" w:rsidRDefault="006A2F53" w:rsidP="009B599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rPr>
            </w:pPr>
            <w:r w:rsidRPr="008643EB">
              <w:rPr>
                <w:rFonts w:eastAsia="Times New Roman"/>
                <w:b/>
              </w:rPr>
              <w:t>Disability Benefits</w:t>
            </w:r>
          </w:p>
        </w:tc>
        <w:tc>
          <w:tcPr>
            <w:tcW w:w="3544" w:type="dxa"/>
          </w:tcPr>
          <w:p w:rsidR="006A2F53" w:rsidRPr="00BF2B31" w:rsidRDefault="006A2F53" w:rsidP="00FD71A8">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 xml:space="preserve">Many disabled people are experiencing reductions in benefit income and claim/ review process that have been criticised as slow or stressful. Wider reforms, like the private sector size criteria, are said to have impacted on some disabled people too. </w:t>
            </w:r>
          </w:p>
        </w:tc>
        <w:tc>
          <w:tcPr>
            <w:tcW w:w="2268" w:type="dxa"/>
          </w:tcPr>
          <w:p w:rsidR="006A2F53" w:rsidRPr="00BF2B31" w:rsidRDefault="006A2F53" w:rsidP="000D637D">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Determine the relationship between income, benefits and health &amp; wellbeing of disabled people and whether the Council should or could do more to improve things for disabled people</w:t>
            </w:r>
          </w:p>
        </w:tc>
        <w:tc>
          <w:tcPr>
            <w:tcW w:w="2003"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To be reviewed once the welfare reform report has been completed</w:t>
            </w:r>
          </w:p>
        </w:tc>
        <w:tc>
          <w:tcPr>
            <w:tcW w:w="4092"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p>
        </w:tc>
      </w:tr>
      <w:tr w:rsidR="006A2F53" w:rsidTr="00BF2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DB15A8">
            <w:pPr>
              <w:spacing w:after="0" w:line="240" w:lineRule="auto"/>
              <w:rPr>
                <w:rFonts w:eastAsia="Times New Roman"/>
              </w:rPr>
            </w:pPr>
            <w:r>
              <w:rPr>
                <w:rFonts w:eastAsia="Times New Roman"/>
              </w:rPr>
              <w:t>38</w:t>
            </w:r>
          </w:p>
        </w:tc>
        <w:tc>
          <w:tcPr>
            <w:tcW w:w="1843" w:type="dxa"/>
          </w:tcPr>
          <w:p w:rsidR="006A2F53" w:rsidRPr="008643EB" w:rsidRDefault="006A2F53" w:rsidP="00DB15A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b/>
              </w:rPr>
              <w:t>Child poverty</w:t>
            </w:r>
          </w:p>
        </w:tc>
        <w:tc>
          <w:tcPr>
            <w:tcW w:w="3544" w:type="dxa"/>
          </w:tcPr>
          <w:p w:rsidR="006A2F53" w:rsidRPr="00BF2B31" w:rsidRDefault="006A2F53" w:rsidP="000D637D">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0"/>
              </w:rPr>
            </w:pPr>
            <w:r w:rsidRPr="00BF2B31">
              <w:rPr>
                <w:rFonts w:asciiTheme="minorHAnsi" w:hAnsiTheme="minorHAnsi" w:cs="Times New Roman"/>
                <w:sz w:val="20"/>
                <w:szCs w:val="20"/>
              </w:rPr>
              <w:t>Two thirds of UK Lone Parent households are below the ‘Minimum Income Standard’’, the highest of all household types (MIS is an alternative measure of relative poverty not based on median income, but on what the public think households need for an acceptable living standard).</w:t>
            </w:r>
            <w:r w:rsidR="00841EDD">
              <w:rPr>
                <w:rFonts w:asciiTheme="minorHAnsi" w:hAnsiTheme="minorHAnsi" w:cs="Times New Roman"/>
                <w:sz w:val="20"/>
                <w:szCs w:val="20"/>
              </w:rPr>
              <w:t xml:space="preserve"> E</w:t>
            </w:r>
            <w:r>
              <w:rPr>
                <w:rFonts w:asciiTheme="minorHAnsi" w:hAnsiTheme="minorHAnsi" w:cs="Times New Roman"/>
                <w:sz w:val="20"/>
                <w:szCs w:val="20"/>
              </w:rPr>
              <w:t>ffect of poverty on educational attainment.</w:t>
            </w:r>
          </w:p>
        </w:tc>
        <w:tc>
          <w:tcPr>
            <w:tcW w:w="2268" w:type="dxa"/>
          </w:tcPr>
          <w:p w:rsidR="006A2F53" w:rsidRPr="00BF2B31" w:rsidRDefault="006A2F53" w:rsidP="00FD71A8">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What is the situation of lone parent households in Harrow and should or could the Council do more to improve things for lone parent households.</w:t>
            </w:r>
          </w:p>
        </w:tc>
        <w:tc>
          <w:tcPr>
            <w:tcW w:w="2003"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r w:rsidRPr="00BF2B31">
              <w:rPr>
                <w:sz w:val="20"/>
                <w:szCs w:val="20"/>
              </w:rPr>
              <w:t>To be reviewed once the welfare reform report has been completed</w:t>
            </w:r>
          </w:p>
        </w:tc>
        <w:tc>
          <w:tcPr>
            <w:tcW w:w="4092" w:type="dxa"/>
          </w:tcPr>
          <w:p w:rsidR="006A2F53" w:rsidRPr="00BF2B31" w:rsidRDefault="006A2F53" w:rsidP="00A37980">
            <w:pPr>
              <w:cnfStyle w:val="000000100000" w:firstRow="0" w:lastRow="0" w:firstColumn="0" w:lastColumn="0" w:oddVBand="0" w:evenVBand="0" w:oddHBand="1" w:evenHBand="0" w:firstRowFirstColumn="0" w:firstRowLastColumn="0" w:lastRowFirstColumn="0" w:lastRowLastColumn="0"/>
              <w:rPr>
                <w:sz w:val="20"/>
                <w:szCs w:val="20"/>
              </w:rPr>
            </w:pPr>
          </w:p>
        </w:tc>
      </w:tr>
      <w:tr w:rsidR="006A2F53" w:rsidTr="00BF2B31">
        <w:tc>
          <w:tcPr>
            <w:cnfStyle w:val="001000000000" w:firstRow="0" w:lastRow="0" w:firstColumn="1" w:lastColumn="0" w:oddVBand="0" w:evenVBand="0" w:oddHBand="0" w:evenHBand="0" w:firstRowFirstColumn="0" w:firstRowLastColumn="0" w:lastRowFirstColumn="0" w:lastRowLastColumn="0"/>
            <w:tcW w:w="675" w:type="dxa"/>
          </w:tcPr>
          <w:p w:rsidR="006A2F53" w:rsidRPr="008643EB" w:rsidRDefault="006A2F53" w:rsidP="002A0CE7">
            <w:pPr>
              <w:spacing w:after="0" w:line="240" w:lineRule="auto"/>
            </w:pPr>
            <w:r>
              <w:t>39</w:t>
            </w:r>
          </w:p>
        </w:tc>
        <w:tc>
          <w:tcPr>
            <w:tcW w:w="1843" w:type="dxa"/>
          </w:tcPr>
          <w:p w:rsidR="006A2F53" w:rsidRPr="008643EB" w:rsidRDefault="006A2F53" w:rsidP="002A0CE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rPr>
            </w:pPr>
            <w:r w:rsidRPr="008643EB">
              <w:rPr>
                <w:b/>
              </w:rPr>
              <w:t>The tightening of the Housing Allocation criterion</w:t>
            </w:r>
          </w:p>
        </w:tc>
        <w:tc>
          <w:tcPr>
            <w:tcW w:w="3544" w:type="dxa"/>
          </w:tcPr>
          <w:p w:rsidR="006A2F53" w:rsidRPr="00BF2B31" w:rsidRDefault="006A2F53" w:rsidP="003D161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i/>
                <w:sz w:val="20"/>
                <w:szCs w:val="20"/>
              </w:rPr>
            </w:pPr>
          </w:p>
        </w:tc>
        <w:tc>
          <w:tcPr>
            <w:tcW w:w="2268" w:type="dxa"/>
          </w:tcPr>
          <w:p w:rsidR="006A2F53" w:rsidRPr="00BF2B31" w:rsidRDefault="006A2F53" w:rsidP="000D637D">
            <w:pPr>
              <w:cnfStyle w:val="000000000000" w:firstRow="0" w:lastRow="0" w:firstColumn="0" w:lastColumn="0" w:oddVBand="0" w:evenVBand="0" w:oddHBand="0" w:evenHBand="0" w:firstRowFirstColumn="0" w:firstRowLastColumn="0" w:lastRowFirstColumn="0" w:lastRowLastColumn="0"/>
              <w:rPr>
                <w:sz w:val="20"/>
                <w:szCs w:val="20"/>
              </w:rPr>
            </w:pPr>
          </w:p>
        </w:tc>
        <w:tc>
          <w:tcPr>
            <w:tcW w:w="2003"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r w:rsidRPr="00BF2B31">
              <w:rPr>
                <w:sz w:val="20"/>
                <w:szCs w:val="20"/>
              </w:rPr>
              <w:t>To be reviewed once the welfare reform report has been completed</w:t>
            </w:r>
          </w:p>
        </w:tc>
        <w:tc>
          <w:tcPr>
            <w:tcW w:w="4092" w:type="dxa"/>
          </w:tcPr>
          <w:p w:rsidR="006A2F53" w:rsidRPr="00BF2B31" w:rsidRDefault="006A2F53" w:rsidP="00A37980">
            <w:pPr>
              <w:cnfStyle w:val="000000000000" w:firstRow="0" w:lastRow="0" w:firstColumn="0" w:lastColumn="0" w:oddVBand="0" w:evenVBand="0" w:oddHBand="0" w:evenHBand="0" w:firstRowFirstColumn="0" w:firstRowLastColumn="0" w:lastRowFirstColumn="0" w:lastRowLastColumn="0"/>
              <w:rPr>
                <w:sz w:val="20"/>
                <w:szCs w:val="20"/>
              </w:rPr>
            </w:pPr>
          </w:p>
        </w:tc>
      </w:tr>
    </w:tbl>
    <w:p w:rsidR="003F159E" w:rsidRDefault="003F159E" w:rsidP="003E4ED6">
      <w:pPr>
        <w:spacing w:after="0" w:line="240" w:lineRule="auto"/>
      </w:pPr>
    </w:p>
    <w:sectPr w:rsidR="003F159E" w:rsidSect="003E4E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8DE"/>
    <w:multiLevelType w:val="hybridMultilevel"/>
    <w:tmpl w:val="0540D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512207"/>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891E44"/>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863398"/>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F55511"/>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CF20467"/>
    <w:multiLevelType w:val="hybridMultilevel"/>
    <w:tmpl w:val="B5003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E19399A"/>
    <w:multiLevelType w:val="hybridMultilevel"/>
    <w:tmpl w:val="EB6E5FA4"/>
    <w:lvl w:ilvl="0" w:tplc="189A2788">
      <w:numFmt w:val="bullet"/>
      <w:lvlText w:val="-"/>
      <w:lvlJc w:val="left"/>
      <w:pPr>
        <w:ind w:left="645"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18A483E"/>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3D29C7"/>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C861741"/>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3EF20351"/>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08E3C55"/>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696732"/>
    <w:multiLevelType w:val="hybridMultilevel"/>
    <w:tmpl w:val="610449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40B028B"/>
    <w:multiLevelType w:val="hybridMultilevel"/>
    <w:tmpl w:val="BDEC8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567735"/>
    <w:multiLevelType w:val="hybridMultilevel"/>
    <w:tmpl w:val="FF006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DE36CF"/>
    <w:multiLevelType w:val="hybridMultilevel"/>
    <w:tmpl w:val="12CA472E"/>
    <w:lvl w:ilvl="0" w:tplc="189A2788">
      <w:numFmt w:val="bullet"/>
      <w:lvlText w:val="-"/>
      <w:lvlJc w:val="left"/>
      <w:pPr>
        <w:ind w:left="645" w:hanging="360"/>
      </w:pPr>
      <w:rPr>
        <w:rFonts w:ascii="Calibri" w:eastAsia="Times New Roman" w:hAnsi="Calibri" w:hint="default"/>
      </w:rPr>
    </w:lvl>
    <w:lvl w:ilvl="1" w:tplc="08090003">
      <w:start w:val="1"/>
      <w:numFmt w:val="bullet"/>
      <w:lvlText w:val="o"/>
      <w:lvlJc w:val="left"/>
      <w:pPr>
        <w:ind w:left="1365" w:hanging="360"/>
      </w:pPr>
      <w:rPr>
        <w:rFonts w:ascii="Courier New" w:hAnsi="Courier New" w:cs="Courier New" w:hint="default"/>
      </w:rPr>
    </w:lvl>
    <w:lvl w:ilvl="2" w:tplc="08090005">
      <w:start w:val="1"/>
      <w:numFmt w:val="bullet"/>
      <w:lvlText w:val=""/>
      <w:lvlJc w:val="left"/>
      <w:pPr>
        <w:ind w:left="2085" w:hanging="360"/>
      </w:pPr>
      <w:rPr>
        <w:rFonts w:ascii="Wingdings" w:hAnsi="Wingdings" w:cs="Wingdings" w:hint="default"/>
      </w:rPr>
    </w:lvl>
    <w:lvl w:ilvl="3" w:tplc="08090001">
      <w:start w:val="1"/>
      <w:numFmt w:val="bullet"/>
      <w:lvlText w:val=""/>
      <w:lvlJc w:val="left"/>
      <w:pPr>
        <w:ind w:left="2805" w:hanging="360"/>
      </w:pPr>
      <w:rPr>
        <w:rFonts w:ascii="Symbol" w:hAnsi="Symbol" w:cs="Symbol" w:hint="default"/>
      </w:rPr>
    </w:lvl>
    <w:lvl w:ilvl="4" w:tplc="08090003">
      <w:start w:val="1"/>
      <w:numFmt w:val="bullet"/>
      <w:lvlText w:val="o"/>
      <w:lvlJc w:val="left"/>
      <w:pPr>
        <w:ind w:left="3525" w:hanging="360"/>
      </w:pPr>
      <w:rPr>
        <w:rFonts w:ascii="Courier New" w:hAnsi="Courier New" w:cs="Courier New" w:hint="default"/>
      </w:rPr>
    </w:lvl>
    <w:lvl w:ilvl="5" w:tplc="08090005">
      <w:start w:val="1"/>
      <w:numFmt w:val="bullet"/>
      <w:lvlText w:val=""/>
      <w:lvlJc w:val="left"/>
      <w:pPr>
        <w:ind w:left="4245" w:hanging="360"/>
      </w:pPr>
      <w:rPr>
        <w:rFonts w:ascii="Wingdings" w:hAnsi="Wingdings" w:cs="Wingdings" w:hint="default"/>
      </w:rPr>
    </w:lvl>
    <w:lvl w:ilvl="6" w:tplc="08090001">
      <w:start w:val="1"/>
      <w:numFmt w:val="bullet"/>
      <w:lvlText w:val=""/>
      <w:lvlJc w:val="left"/>
      <w:pPr>
        <w:ind w:left="4965" w:hanging="360"/>
      </w:pPr>
      <w:rPr>
        <w:rFonts w:ascii="Symbol" w:hAnsi="Symbol" w:cs="Symbol" w:hint="default"/>
      </w:rPr>
    </w:lvl>
    <w:lvl w:ilvl="7" w:tplc="08090003">
      <w:start w:val="1"/>
      <w:numFmt w:val="bullet"/>
      <w:lvlText w:val="o"/>
      <w:lvlJc w:val="left"/>
      <w:pPr>
        <w:ind w:left="5685" w:hanging="360"/>
      </w:pPr>
      <w:rPr>
        <w:rFonts w:ascii="Courier New" w:hAnsi="Courier New" w:cs="Courier New" w:hint="default"/>
      </w:rPr>
    </w:lvl>
    <w:lvl w:ilvl="8" w:tplc="08090005">
      <w:start w:val="1"/>
      <w:numFmt w:val="bullet"/>
      <w:lvlText w:val=""/>
      <w:lvlJc w:val="left"/>
      <w:pPr>
        <w:ind w:left="6405" w:hanging="360"/>
      </w:pPr>
      <w:rPr>
        <w:rFonts w:ascii="Wingdings" w:hAnsi="Wingdings" w:cs="Wingdings" w:hint="default"/>
      </w:rPr>
    </w:lvl>
  </w:abstractNum>
  <w:abstractNum w:abstractNumId="16">
    <w:nsid w:val="788559B9"/>
    <w:multiLevelType w:val="multilevel"/>
    <w:tmpl w:val="32880E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C145485"/>
    <w:multiLevelType w:val="hybridMultilevel"/>
    <w:tmpl w:val="EB68AEC0"/>
    <w:lvl w:ilvl="0" w:tplc="27EA8000">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num w:numId="1">
    <w:abstractNumId w:val="15"/>
  </w:num>
  <w:num w:numId="2">
    <w:abstractNumId w:val="12"/>
  </w:num>
  <w:num w:numId="3">
    <w:abstractNumId w:val="6"/>
  </w:num>
  <w:num w:numId="4">
    <w:abstractNumId w:val="17"/>
  </w:num>
  <w:num w:numId="5">
    <w:abstractNumId w:val="13"/>
  </w:num>
  <w:num w:numId="6">
    <w:abstractNumId w:val="9"/>
  </w:num>
  <w:num w:numId="7">
    <w:abstractNumId w:val="10"/>
  </w:num>
  <w:num w:numId="8">
    <w:abstractNumId w:val="11"/>
  </w:num>
  <w:num w:numId="9">
    <w:abstractNumId w:val="1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3"/>
  </w:num>
  <w:num w:numId="15">
    <w:abstractNumId w:val="2"/>
  </w:num>
  <w:num w:numId="16">
    <w:abstractNumId w:val="5"/>
  </w:num>
  <w:num w:numId="17">
    <w:abstractNumId w:val="1"/>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DD"/>
    <w:rsid w:val="0000320C"/>
    <w:rsid w:val="0003194C"/>
    <w:rsid w:val="00082390"/>
    <w:rsid w:val="00097CE3"/>
    <w:rsid w:val="000D637D"/>
    <w:rsid w:val="000E779D"/>
    <w:rsid w:val="001223B6"/>
    <w:rsid w:val="00150F56"/>
    <w:rsid w:val="001608FE"/>
    <w:rsid w:val="00167387"/>
    <w:rsid w:val="00181196"/>
    <w:rsid w:val="00184255"/>
    <w:rsid w:val="00185FCB"/>
    <w:rsid w:val="00194746"/>
    <w:rsid w:val="00196887"/>
    <w:rsid w:val="001E5A35"/>
    <w:rsid w:val="001F16D5"/>
    <w:rsid w:val="00207C97"/>
    <w:rsid w:val="00215230"/>
    <w:rsid w:val="002326B6"/>
    <w:rsid w:val="00281C21"/>
    <w:rsid w:val="00293E58"/>
    <w:rsid w:val="002A0CE7"/>
    <w:rsid w:val="00384A72"/>
    <w:rsid w:val="003921FF"/>
    <w:rsid w:val="003947C9"/>
    <w:rsid w:val="003A2ECC"/>
    <w:rsid w:val="003D161F"/>
    <w:rsid w:val="003E4ED6"/>
    <w:rsid w:val="003F159E"/>
    <w:rsid w:val="003F32D7"/>
    <w:rsid w:val="00422657"/>
    <w:rsid w:val="00426686"/>
    <w:rsid w:val="004A669B"/>
    <w:rsid w:val="004B32A9"/>
    <w:rsid w:val="004E3DDD"/>
    <w:rsid w:val="004F0425"/>
    <w:rsid w:val="00525AA7"/>
    <w:rsid w:val="00543154"/>
    <w:rsid w:val="0055664A"/>
    <w:rsid w:val="0058616D"/>
    <w:rsid w:val="005C4F9F"/>
    <w:rsid w:val="0060491D"/>
    <w:rsid w:val="0060563B"/>
    <w:rsid w:val="00614D99"/>
    <w:rsid w:val="00654667"/>
    <w:rsid w:val="00665FB4"/>
    <w:rsid w:val="00691714"/>
    <w:rsid w:val="00697B45"/>
    <w:rsid w:val="006A2F53"/>
    <w:rsid w:val="006B3DA5"/>
    <w:rsid w:val="006B7BEC"/>
    <w:rsid w:val="006C66D8"/>
    <w:rsid w:val="00723427"/>
    <w:rsid w:val="00730B12"/>
    <w:rsid w:val="00734107"/>
    <w:rsid w:val="00766C01"/>
    <w:rsid w:val="00817DA9"/>
    <w:rsid w:val="00841EDD"/>
    <w:rsid w:val="00853186"/>
    <w:rsid w:val="008643EB"/>
    <w:rsid w:val="0088163E"/>
    <w:rsid w:val="00894C04"/>
    <w:rsid w:val="008C1B45"/>
    <w:rsid w:val="008E607D"/>
    <w:rsid w:val="008F2722"/>
    <w:rsid w:val="00904BD2"/>
    <w:rsid w:val="00906E1E"/>
    <w:rsid w:val="009B38C4"/>
    <w:rsid w:val="009B5999"/>
    <w:rsid w:val="009D330D"/>
    <w:rsid w:val="00A37980"/>
    <w:rsid w:val="00A92F73"/>
    <w:rsid w:val="00AB7341"/>
    <w:rsid w:val="00AD7E6A"/>
    <w:rsid w:val="00AF2E34"/>
    <w:rsid w:val="00B02D03"/>
    <w:rsid w:val="00B07B8E"/>
    <w:rsid w:val="00BB7E05"/>
    <w:rsid w:val="00BF2B31"/>
    <w:rsid w:val="00C70A20"/>
    <w:rsid w:val="00C911F0"/>
    <w:rsid w:val="00CE4DAE"/>
    <w:rsid w:val="00D65346"/>
    <w:rsid w:val="00DB15A8"/>
    <w:rsid w:val="00DC7C62"/>
    <w:rsid w:val="00DE5AE1"/>
    <w:rsid w:val="00E212D4"/>
    <w:rsid w:val="00E85AD0"/>
    <w:rsid w:val="00E95A8F"/>
    <w:rsid w:val="00E976DD"/>
    <w:rsid w:val="00EC6663"/>
    <w:rsid w:val="00F156D8"/>
    <w:rsid w:val="00F70465"/>
    <w:rsid w:val="00F85554"/>
    <w:rsid w:val="00F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67"/>
    <w:pPr>
      <w:spacing w:after="200" w:line="276" w:lineRule="auto"/>
    </w:pPr>
    <w:rPr>
      <w:rFonts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3DD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DDD"/>
    <w:pPr>
      <w:ind w:left="720"/>
    </w:pPr>
  </w:style>
  <w:style w:type="table" w:styleId="LightList-Accent4">
    <w:name w:val="Light List Accent 4"/>
    <w:basedOn w:val="TableNormal"/>
    <w:uiPriority w:val="61"/>
    <w:rsid w:val="00AB734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AB734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Hyperlink">
    <w:name w:val="Hyperlink"/>
    <w:basedOn w:val="DefaultParagraphFont"/>
    <w:uiPriority w:val="99"/>
    <w:unhideWhenUsed/>
    <w:rsid w:val="00AB7341"/>
    <w:rPr>
      <w:color w:val="0000FF" w:themeColor="hyperlink"/>
      <w:u w:val="single"/>
    </w:rPr>
  </w:style>
  <w:style w:type="paragraph" w:styleId="BalloonText">
    <w:name w:val="Balloon Text"/>
    <w:basedOn w:val="Normal"/>
    <w:link w:val="BalloonTextChar"/>
    <w:uiPriority w:val="99"/>
    <w:semiHidden/>
    <w:unhideWhenUsed/>
    <w:rsid w:val="0016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67"/>
    <w:pPr>
      <w:spacing w:after="200" w:line="276" w:lineRule="auto"/>
    </w:pPr>
    <w:rPr>
      <w:rFonts w:cs="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3DD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DDD"/>
    <w:pPr>
      <w:ind w:left="720"/>
    </w:pPr>
  </w:style>
  <w:style w:type="table" w:styleId="LightList-Accent4">
    <w:name w:val="Light List Accent 4"/>
    <w:basedOn w:val="TableNormal"/>
    <w:uiPriority w:val="61"/>
    <w:rsid w:val="00AB734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AB734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Hyperlink">
    <w:name w:val="Hyperlink"/>
    <w:basedOn w:val="DefaultParagraphFont"/>
    <w:uiPriority w:val="99"/>
    <w:unhideWhenUsed/>
    <w:rsid w:val="00AB7341"/>
    <w:rPr>
      <w:color w:val="0000FF" w:themeColor="hyperlink"/>
      <w:u w:val="single"/>
    </w:rPr>
  </w:style>
  <w:style w:type="paragraph" w:styleId="BalloonText">
    <w:name w:val="Balloon Text"/>
    <w:basedOn w:val="Normal"/>
    <w:link w:val="BalloonTextChar"/>
    <w:uiPriority w:val="99"/>
    <w:semiHidden/>
    <w:unhideWhenUsed/>
    <w:rsid w:val="0016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3419">
      <w:bodyDiv w:val="1"/>
      <w:marLeft w:val="0"/>
      <w:marRight w:val="0"/>
      <w:marTop w:val="0"/>
      <w:marBottom w:val="0"/>
      <w:divBdr>
        <w:top w:val="none" w:sz="0" w:space="0" w:color="auto"/>
        <w:left w:val="none" w:sz="0" w:space="0" w:color="auto"/>
        <w:bottom w:val="none" w:sz="0" w:space="0" w:color="auto"/>
        <w:right w:val="none" w:sz="0" w:space="0" w:color="auto"/>
      </w:divBdr>
    </w:div>
    <w:div w:id="645864387">
      <w:bodyDiv w:val="1"/>
      <w:marLeft w:val="0"/>
      <w:marRight w:val="0"/>
      <w:marTop w:val="0"/>
      <w:marBottom w:val="0"/>
      <w:divBdr>
        <w:top w:val="none" w:sz="0" w:space="0" w:color="auto"/>
        <w:left w:val="none" w:sz="0" w:space="0" w:color="auto"/>
        <w:bottom w:val="none" w:sz="0" w:space="0" w:color="auto"/>
        <w:right w:val="none" w:sz="0" w:space="0" w:color="auto"/>
      </w:divBdr>
    </w:div>
    <w:div w:id="654381470">
      <w:bodyDiv w:val="1"/>
      <w:marLeft w:val="0"/>
      <w:marRight w:val="0"/>
      <w:marTop w:val="0"/>
      <w:marBottom w:val="0"/>
      <w:divBdr>
        <w:top w:val="none" w:sz="0" w:space="0" w:color="auto"/>
        <w:left w:val="none" w:sz="0" w:space="0" w:color="auto"/>
        <w:bottom w:val="none" w:sz="0" w:space="0" w:color="auto"/>
        <w:right w:val="none" w:sz="0" w:space="0" w:color="auto"/>
      </w:divBdr>
    </w:div>
    <w:div w:id="818107420">
      <w:bodyDiv w:val="1"/>
      <w:marLeft w:val="0"/>
      <w:marRight w:val="0"/>
      <w:marTop w:val="0"/>
      <w:marBottom w:val="0"/>
      <w:divBdr>
        <w:top w:val="none" w:sz="0" w:space="0" w:color="auto"/>
        <w:left w:val="none" w:sz="0" w:space="0" w:color="auto"/>
        <w:bottom w:val="none" w:sz="0" w:space="0" w:color="auto"/>
        <w:right w:val="none" w:sz="0" w:space="0" w:color="auto"/>
      </w:divBdr>
    </w:div>
    <w:div w:id="922565546">
      <w:bodyDiv w:val="1"/>
      <w:marLeft w:val="0"/>
      <w:marRight w:val="0"/>
      <w:marTop w:val="0"/>
      <w:marBottom w:val="0"/>
      <w:divBdr>
        <w:top w:val="none" w:sz="0" w:space="0" w:color="auto"/>
        <w:left w:val="none" w:sz="0" w:space="0" w:color="auto"/>
        <w:bottom w:val="none" w:sz="0" w:space="0" w:color="auto"/>
        <w:right w:val="none" w:sz="0" w:space="0" w:color="auto"/>
      </w:divBdr>
    </w:div>
    <w:div w:id="1362903280">
      <w:bodyDiv w:val="1"/>
      <w:marLeft w:val="0"/>
      <w:marRight w:val="0"/>
      <w:marTop w:val="0"/>
      <w:marBottom w:val="0"/>
      <w:divBdr>
        <w:top w:val="none" w:sz="0" w:space="0" w:color="auto"/>
        <w:left w:val="none" w:sz="0" w:space="0" w:color="auto"/>
        <w:bottom w:val="none" w:sz="0" w:space="0" w:color="auto"/>
        <w:right w:val="none" w:sz="0" w:space="0" w:color="auto"/>
      </w:divBdr>
    </w:div>
    <w:div w:id="1833643450">
      <w:bodyDiv w:val="1"/>
      <w:marLeft w:val="0"/>
      <w:marRight w:val="0"/>
      <w:marTop w:val="0"/>
      <w:marBottom w:val="0"/>
      <w:divBdr>
        <w:top w:val="none" w:sz="0" w:space="0" w:color="auto"/>
        <w:left w:val="none" w:sz="0" w:space="0" w:color="auto"/>
        <w:bottom w:val="none" w:sz="0" w:space="0" w:color="auto"/>
        <w:right w:val="none" w:sz="0" w:space="0" w:color="auto"/>
      </w:divBdr>
    </w:div>
    <w:div w:id="18421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79EF-A346-4DE9-A44F-1F393469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Potential Scrutiny Work Programme – Initial Ideas</vt:lpstr>
    </vt:vector>
  </TitlesOfParts>
  <Company>Harrow Council</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Scrutiny Work Programme – Initial Ideas</dc:title>
  <dc:creator>Ben &amp; Rachel</dc:creator>
  <cp:lastModifiedBy>Rachel Gapp</cp:lastModifiedBy>
  <cp:revision>2</cp:revision>
  <dcterms:created xsi:type="dcterms:W3CDTF">2016-05-18T16:36:00Z</dcterms:created>
  <dcterms:modified xsi:type="dcterms:W3CDTF">2016-05-18T16:36:00Z</dcterms:modified>
</cp:coreProperties>
</file>